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4AC1" w14:textId="1AEA066F" w:rsidR="001B290C" w:rsidRDefault="001B290C" w:rsidP="001B290C">
      <w:pPr>
        <w:pStyle w:val="a3"/>
        <w:tabs>
          <w:tab w:val="right" w:pos="7088"/>
          <w:tab w:val="right" w:pos="9781"/>
        </w:tabs>
        <w:rPr>
          <w:rFonts w:eastAsia="新細明體" w:cs="Arial"/>
          <w:b w:val="0"/>
          <w:bCs/>
          <w:i/>
          <w:iCs/>
          <w:sz w:val="22"/>
          <w:lang w:val="en-GB" w:eastAsia="zh-TW"/>
        </w:rPr>
      </w:pPr>
      <w:bookmarkStart w:id="0" w:name="OLE_LINK59"/>
      <w:bookmarkStart w:id="1" w:name="OLE_LINK21"/>
      <w:bookmarkStart w:id="2" w:name="OLE_LINK17"/>
      <w:r>
        <w:rPr>
          <w:rFonts w:cs="Arial"/>
          <w:bCs/>
          <w:sz w:val="22"/>
          <w:szCs w:val="22"/>
        </w:rPr>
        <w:t xml:space="preserve">3GPP </w:t>
      </w:r>
      <w:bookmarkStart w:id="3" w:name="OLE_LINK50"/>
      <w:bookmarkStart w:id="4" w:name="OLE_LINK51"/>
      <w:bookmarkStart w:id="5" w:name="OLE_LINK52"/>
      <w:r>
        <w:rPr>
          <w:rFonts w:cs="Arial"/>
          <w:bCs/>
          <w:sz w:val="22"/>
          <w:szCs w:val="22"/>
        </w:rPr>
        <w:t xml:space="preserve">TSG </w:t>
      </w:r>
      <w:r>
        <w:rPr>
          <w:rFonts w:cs="Arial"/>
          <w:sz w:val="22"/>
          <w:szCs w:val="22"/>
        </w:rPr>
        <w:t>RAN</w:t>
      </w:r>
      <w:r>
        <w:rPr>
          <w:rFonts w:cs="Arial"/>
          <w:bCs/>
          <w:sz w:val="22"/>
          <w:szCs w:val="22"/>
        </w:rPr>
        <w:t xml:space="preserve"> WG4</w:t>
      </w:r>
      <w:bookmarkEnd w:id="3"/>
      <w:bookmarkEnd w:id="4"/>
      <w:bookmarkEnd w:id="5"/>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w:t>
      </w:r>
      <w:r w:rsidR="0095671C" w:rsidRPr="0095671C">
        <w:rPr>
          <w:rFonts w:cs="Arial"/>
          <w:bCs/>
          <w:i/>
          <w:iCs/>
          <w:sz w:val="22"/>
          <w:szCs w:val="22"/>
        </w:rPr>
        <w:t>R4-2507908</w:t>
      </w:r>
    </w:p>
    <w:bookmarkEnd w:id="0"/>
    <w:p w14:paraId="0105C39B" w14:textId="77777777" w:rsidR="001B290C" w:rsidRDefault="001B290C" w:rsidP="001B290C">
      <w:pPr>
        <w:pStyle w:val="a3"/>
        <w:tabs>
          <w:tab w:val="right" w:pos="7088"/>
          <w:tab w:val="right" w:pos="9781"/>
        </w:tabs>
        <w:rPr>
          <w:rFonts w:cs="Arial"/>
          <w:bCs/>
          <w:sz w:val="22"/>
          <w:szCs w:val="22"/>
        </w:rPr>
      </w:pPr>
      <w:r>
        <w:rPr>
          <w:rFonts w:eastAsia="新細明體" w:cs="Arial"/>
          <w:bCs/>
          <w:sz w:val="22"/>
          <w:szCs w:val="22"/>
          <w:lang w:eastAsia="zh-TW"/>
        </w:rPr>
        <w:t>St Julian’s, Malta  19</w:t>
      </w:r>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bookmarkEnd w:id="1"/>
    </w:p>
    <w:bookmarkEnd w:id="2"/>
    <w:p w14:paraId="6A7099AF" w14:textId="77777777" w:rsidR="00027053" w:rsidRPr="001B290C" w:rsidRDefault="00027053" w:rsidP="00027053">
      <w:pPr>
        <w:pStyle w:val="a3"/>
        <w:tabs>
          <w:tab w:val="right" w:pos="7088"/>
          <w:tab w:val="right" w:pos="9781"/>
        </w:tabs>
        <w:rPr>
          <w:rFonts w:cs="Arial"/>
          <w:bCs/>
          <w:sz w:val="22"/>
          <w:szCs w:val="22"/>
        </w:rPr>
      </w:pPr>
    </w:p>
    <w:p w14:paraId="6AC88961" w14:textId="07A06D40"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A2484E">
        <w:rPr>
          <w:rFonts w:ascii="Arial" w:hAnsi="Arial" w:cs="Arial"/>
          <w:sz w:val="22"/>
        </w:rPr>
        <w:t>7.</w:t>
      </w:r>
      <w:r w:rsidR="00291C74">
        <w:rPr>
          <w:rFonts w:ascii="Arial" w:eastAsia="新細明體" w:hAnsi="Arial" w:cs="Arial"/>
          <w:sz w:val="22"/>
          <w:lang w:eastAsia="zh-TW"/>
        </w:rPr>
        <w:t>7</w:t>
      </w:r>
      <w:r w:rsidR="00A2484E">
        <w:rPr>
          <w:rFonts w:ascii="Arial" w:hAnsi="Arial" w:cs="Arial"/>
          <w:sz w:val="22"/>
        </w:rPr>
        <w:t>.</w:t>
      </w:r>
      <w:r w:rsidR="00291C74">
        <w:rPr>
          <w:rFonts w:ascii="Arial" w:hAnsi="Arial" w:cs="Arial"/>
          <w:sz w:val="22"/>
        </w:rPr>
        <w:t>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F7A3F1"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6" w:name="OLE_LINK36"/>
      <w:bookmarkStart w:id="7" w:name="OLE_LINK3"/>
      <w:bookmarkStart w:id="8" w:name="OLE_LINK1"/>
      <w:r w:rsidR="002076EB">
        <w:rPr>
          <w:rFonts w:ascii="Arial" w:hAnsi="Arial" w:cs="Arial"/>
          <w:sz w:val="22"/>
        </w:rPr>
        <w:t>D</w:t>
      </w:r>
      <w:bookmarkStart w:id="9" w:name="OLE_LINK35"/>
      <w:r w:rsidR="002076EB">
        <w:rPr>
          <w:rFonts w:ascii="Arial" w:hAnsi="Arial" w:cs="Arial"/>
          <w:sz w:val="22"/>
        </w:rPr>
        <w:t xml:space="preserve">iscussion </w:t>
      </w:r>
      <w:bookmarkEnd w:id="6"/>
      <w:bookmarkEnd w:id="9"/>
      <w:r w:rsidR="001F44F1">
        <w:rPr>
          <w:rFonts w:ascii="Arial" w:hAnsi="Arial" w:cs="Arial"/>
          <w:sz w:val="22"/>
        </w:rPr>
        <w:t>on low-band CA switching</w:t>
      </w:r>
      <w:bookmarkEnd w:id="7"/>
      <w:r w:rsidR="00291C74">
        <w:rPr>
          <w:rFonts w:ascii="Arial" w:hAnsi="Arial" w:cs="Arial"/>
          <w:sz w:val="22"/>
        </w:rPr>
        <w:t xml:space="preserve"> time mask and fallback applicapability</w:t>
      </w:r>
      <w:bookmarkEnd w:id="8"/>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0E74CBC4" w:rsidR="00B1384A" w:rsidRPr="000B25F7" w:rsidRDefault="001F44F1" w:rsidP="007611F8">
      <w:pPr>
        <w:rPr>
          <w:rFonts w:ascii="Arial" w:eastAsia="新細明體" w:hAnsi="Arial" w:cs="Arial"/>
          <w:lang w:eastAsia="zh-TW"/>
        </w:rPr>
      </w:pPr>
      <w:r>
        <w:rPr>
          <w:rFonts w:ascii="Arial" w:eastAsia="新細明體" w:hAnsi="Arial" w:cs="Arial"/>
          <w:lang w:eastAsia="zh-TW"/>
        </w:rPr>
        <w:t xml:space="preserve">The low band carrier aggregation has been </w:t>
      </w:r>
      <w:r w:rsidR="00E57EC7">
        <w:rPr>
          <w:rFonts w:ascii="Arial" w:eastAsia="新細明體" w:hAnsi="Arial" w:cs="Arial"/>
          <w:lang w:eastAsia="zh-TW"/>
        </w:rPr>
        <w:t>discusse</w:t>
      </w:r>
      <w:r w:rsidR="001101CB">
        <w:rPr>
          <w:rFonts w:ascii="Arial" w:eastAsia="新細明體" w:hAnsi="Arial" w:cs="Arial"/>
          <w:lang w:eastAsia="zh-TW"/>
        </w:rPr>
        <w:t>d</w:t>
      </w:r>
      <w:r>
        <w:rPr>
          <w:rFonts w:ascii="Arial" w:eastAsia="新細明體" w:hAnsi="Arial" w:cs="Arial"/>
          <w:lang w:eastAsia="zh-TW"/>
        </w:rPr>
        <w:t xml:space="preserve">. </w:t>
      </w:r>
      <w:r w:rsidR="001D0CA9">
        <w:rPr>
          <w:rFonts w:ascii="Arial" w:eastAsia="新細明體" w:hAnsi="Arial" w:cs="Arial"/>
          <w:lang w:eastAsia="zh-TW"/>
        </w:rPr>
        <w:t>The</w:t>
      </w:r>
      <w:r w:rsidR="001101CB">
        <w:rPr>
          <w:rFonts w:ascii="Arial" w:eastAsia="新細明體" w:hAnsi="Arial" w:cs="Arial"/>
          <w:lang w:eastAsia="zh-TW"/>
        </w:rPr>
        <w:t xml:space="preserve"> WI scope, low NR band aggregation scenarios and switching periods has been concluded in RAN4. The time mask and location of the switching period were still open for further discussion. Furthermore, in last RAN1 meeting, some agreements were reached and RAN4 need continue discuss corresponding RAN4</w:t>
      </w:r>
      <w:r w:rsidR="001D0CA9">
        <w:rPr>
          <w:rFonts w:ascii="Arial" w:eastAsia="新細明體" w:hAnsi="Arial" w:cs="Arial"/>
          <w:lang w:eastAsia="zh-TW"/>
        </w:rPr>
        <w:t xml:space="preserve"> </w:t>
      </w:r>
      <w:r w:rsidR="001101CB">
        <w:rPr>
          <w:rFonts w:ascii="Arial" w:eastAsia="新細明體" w:hAnsi="Arial" w:cs="Arial"/>
          <w:lang w:eastAsia="zh-TW"/>
        </w:rPr>
        <w:t xml:space="preserve">requirements and potential UE capability and UE </w:t>
      </w:r>
      <w:r w:rsidR="00A07D6B">
        <w:rPr>
          <w:rFonts w:ascii="Arial" w:eastAsia="新細明體" w:hAnsi="Arial" w:cs="Arial"/>
          <w:lang w:eastAsia="zh-TW"/>
        </w:rPr>
        <w:t>behaviour</w:t>
      </w:r>
      <w:r w:rsidR="001D0CA9">
        <w:rPr>
          <w:rFonts w:ascii="Arial" w:eastAsia="新細明體" w:hAnsi="Arial" w:cs="Arial"/>
          <w:lang w:eastAsia="zh-TW"/>
        </w:rPr>
        <w:t>.</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E800B71" w14:textId="14D990EE" w:rsidR="003D2351" w:rsidRDefault="003D2351" w:rsidP="003D2351">
      <w:pPr>
        <w:rPr>
          <w:rFonts w:ascii="Arial" w:hAnsi="Arial" w:cs="Arial"/>
          <w:b/>
          <w:bCs/>
        </w:rPr>
      </w:pPr>
      <w:bookmarkStart w:id="10" w:name="OLE_LINK62"/>
      <w:bookmarkStart w:id="11" w:name="OLE_LINK44"/>
      <w:r w:rsidRPr="003D2351">
        <w:rPr>
          <w:rFonts w:ascii="Arial" w:hAnsi="Arial" w:cs="Arial"/>
          <w:b/>
          <w:bCs/>
        </w:rPr>
        <w:t xml:space="preserve">Issue 1: </w:t>
      </w:r>
      <w:bookmarkStart w:id="12" w:name="OLE_LINK61"/>
      <w:bookmarkEnd w:id="10"/>
      <w:r w:rsidR="001101CB">
        <w:rPr>
          <w:rFonts w:ascii="Arial" w:hAnsi="Arial" w:cs="Arial"/>
          <w:b/>
          <w:bCs/>
        </w:rPr>
        <w:t>The location of switching period</w:t>
      </w:r>
    </w:p>
    <w:bookmarkEnd w:id="11"/>
    <w:bookmarkEnd w:id="12"/>
    <w:p w14:paraId="3EA5190E" w14:textId="7EBDE7FF" w:rsidR="006611D4" w:rsidRDefault="004D182B" w:rsidP="006611D4">
      <w:pPr>
        <w:rPr>
          <w:rFonts w:ascii="Arial" w:eastAsia="新細明體" w:hAnsi="Arial" w:cs="Arial"/>
          <w:lang w:eastAsia="zh-TW"/>
        </w:rPr>
      </w:pPr>
      <w:r>
        <w:rPr>
          <w:rFonts w:ascii="Arial" w:eastAsia="新細明體" w:hAnsi="Arial" w:cs="Arial"/>
          <w:noProof/>
          <w:lang w:eastAsia="zh-TW"/>
        </w:rPr>
        <mc:AlternateContent>
          <mc:Choice Requires="wps">
            <w:drawing>
              <wp:anchor distT="0" distB="0" distL="114300" distR="114300" simplePos="0" relativeHeight="251659264" behindDoc="0" locked="0" layoutInCell="1" allowOverlap="1" wp14:anchorId="5ED75475" wp14:editId="7379D3AD">
                <wp:simplePos x="0" y="0"/>
                <wp:positionH relativeFrom="column">
                  <wp:posOffset>-61194</wp:posOffset>
                </wp:positionH>
                <wp:positionV relativeFrom="paragraph">
                  <wp:posOffset>358073</wp:posOffset>
                </wp:positionV>
                <wp:extent cx="6395987" cy="1814362"/>
                <wp:effectExtent l="0" t="0" r="24130" b="14605"/>
                <wp:wrapNone/>
                <wp:docPr id="1" name="矩形 1"/>
                <wp:cNvGraphicFramePr/>
                <a:graphic xmlns:a="http://schemas.openxmlformats.org/drawingml/2006/main">
                  <a:graphicData uri="http://schemas.microsoft.com/office/word/2010/wordprocessingShape">
                    <wps:wsp>
                      <wps:cNvSpPr/>
                      <wps:spPr>
                        <a:xfrm>
                          <a:off x="0" y="0"/>
                          <a:ext cx="6395987" cy="1814362"/>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845020" id="矩形 1" o:spid="_x0000_s1026" style="position:absolute;margin-left:-4.8pt;margin-top:28.2pt;width:503.6pt;height:14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" filled="f" strokecolor="black [3213]" strokeweight="1pt"/>
            </w:pict>
          </mc:Fallback>
        </mc:AlternateContent>
      </w:r>
      <w:r w:rsidR="00A07D6B">
        <w:rPr>
          <w:rFonts w:ascii="Arial" w:eastAsia="新細明體" w:hAnsi="Arial" w:cs="Arial"/>
          <w:lang w:eastAsia="zh-TW"/>
        </w:rPr>
        <w:t>In last RAN4 meeting, it was agreed the location of switching period is still under RAN1 discussion. Referring to last RAN1</w:t>
      </w:r>
      <w:r w:rsidR="009336E1">
        <w:rPr>
          <w:rFonts w:ascii="Arial" w:eastAsia="新細明體" w:hAnsi="Arial" w:cs="Arial"/>
          <w:lang w:eastAsia="zh-TW"/>
        </w:rPr>
        <w:t>#120bis</w:t>
      </w:r>
      <w:r w:rsidR="00A07D6B">
        <w:rPr>
          <w:rFonts w:ascii="Arial" w:eastAsia="新細明體" w:hAnsi="Arial" w:cs="Arial"/>
          <w:lang w:eastAsia="zh-TW"/>
        </w:rPr>
        <w:t xml:space="preserve"> meeting</w:t>
      </w:r>
      <w:r w:rsidR="009336E1">
        <w:rPr>
          <w:rFonts w:ascii="Arial" w:eastAsia="新細明體" w:hAnsi="Arial" w:cs="Arial"/>
          <w:lang w:eastAsia="zh-TW"/>
        </w:rPr>
        <w:t>(April.2025)</w:t>
      </w:r>
      <w:r w:rsidR="00A07D6B">
        <w:rPr>
          <w:rFonts w:ascii="Arial" w:eastAsia="新細明體" w:hAnsi="Arial" w:cs="Arial"/>
          <w:lang w:eastAsia="zh-TW"/>
        </w:rPr>
        <w:t xml:space="preserve"> outcome, there were some agreements copied below:</w:t>
      </w:r>
    </w:p>
    <w:p w14:paraId="2FA020AB" w14:textId="77777777" w:rsidR="00A07D6B" w:rsidRDefault="00A07D6B" w:rsidP="00A07D6B">
      <w:pPr>
        <w:rPr>
          <w:rFonts w:eastAsia="DengXian"/>
          <w:highlight w:val="green"/>
          <w:lang w:val="en-US"/>
        </w:rPr>
      </w:pPr>
      <w:r>
        <w:rPr>
          <w:rFonts w:eastAsia="DengXian"/>
          <w:highlight w:val="green"/>
        </w:rPr>
        <w:t>Agreement</w:t>
      </w:r>
    </w:p>
    <w:p w14:paraId="2D120B5A" w14:textId="77777777" w:rsidR="00A07D6B" w:rsidRPr="001161DF" w:rsidRDefault="00A07D6B" w:rsidP="00A07D6B">
      <w:pPr>
        <w:rPr>
          <w:rFonts w:eastAsia="Batang"/>
          <w:color w:val="000000"/>
          <w:lang w:eastAsia="en-US"/>
        </w:rPr>
      </w:pPr>
      <w:r w:rsidRPr="001161DF">
        <w:rPr>
          <w:color w:val="000000"/>
        </w:rPr>
        <w:t xml:space="preserve">For RRC configuration of semi-static switching pattern in Rel-19 low NR band carrier aggregation via switching, regarding the location of the switching gap, </w:t>
      </w:r>
    </w:p>
    <w:p w14:paraId="284A48C3" w14:textId="7438C2ED" w:rsidR="00A07D6B" w:rsidRPr="00B70466" w:rsidRDefault="00A07D6B" w:rsidP="00A07D6B">
      <w:pPr>
        <w:pStyle w:val="ac"/>
        <w:numPr>
          <w:ilvl w:val="0"/>
          <w:numId w:val="70"/>
        </w:numPr>
        <w:overflowPunct/>
        <w:autoSpaceDE/>
        <w:adjustRightInd/>
        <w:spacing w:after="12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For switching from SDL carrier to FDD carrier, the switching gap is </w:t>
      </w:r>
      <w:bookmarkStart w:id="13" w:name="OLE_LINK4"/>
      <w:r w:rsidRPr="00B70466">
        <w:rPr>
          <w:rFonts w:ascii="Times New Roman" w:hAnsi="Times New Roman" w:cs="Times New Roman"/>
          <w:color w:val="000000"/>
        </w:rPr>
        <w:t>always assumed at the “switch from” carrier, i.e., SDL carrier</w:t>
      </w:r>
      <w:bookmarkEnd w:id="13"/>
      <w:r w:rsidRPr="00B70466">
        <w:rPr>
          <w:rFonts w:ascii="Times New Roman" w:hAnsi="Times New Roman" w:cs="Times New Roman"/>
          <w:color w:val="000000"/>
        </w:rPr>
        <w:t>.</w:t>
      </w:r>
    </w:p>
    <w:p w14:paraId="44D6207E" w14:textId="6874DD60" w:rsidR="00A07D6B" w:rsidRPr="00B70466" w:rsidRDefault="00A07D6B" w:rsidP="00A07D6B">
      <w:pPr>
        <w:pStyle w:val="ac"/>
        <w:numPr>
          <w:ilvl w:val="0"/>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 xml:space="preserve">For switching from FDD carrier to SDL carrier, downselect one of the following solutions </w:t>
      </w:r>
    </w:p>
    <w:p w14:paraId="65A95415" w14:textId="53322037"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Alt 1: Switching gap is always assumed at the “</w:t>
      </w:r>
      <w:r w:rsidRPr="00B70466">
        <w:rPr>
          <w:rFonts w:ascii="Times New Roman" w:hAnsi="Times New Roman" w:cs="Times New Roman"/>
          <w:i/>
          <w:iCs/>
          <w:color w:val="000000"/>
        </w:rPr>
        <w:t>switch from</w:t>
      </w:r>
      <w:r w:rsidRPr="00B70466">
        <w:rPr>
          <w:rFonts w:ascii="Times New Roman" w:hAnsi="Times New Roman" w:cs="Times New Roman"/>
          <w:color w:val="000000"/>
        </w:rPr>
        <w:t xml:space="preserve">” carrier, i.e., FDD carrier </w:t>
      </w:r>
    </w:p>
    <w:p w14:paraId="2C0B84BE" w14:textId="5C32772F"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Alt 1: to protect PDCCH</w:t>
      </w:r>
    </w:p>
    <w:p w14:paraId="50F04211" w14:textId="4FA39FB1"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Alt 2: NW configures whether the switching gap is at the FDD carrier or SDL carrier</w:t>
      </w:r>
    </w:p>
    <w:p w14:paraId="2C23663C" w14:textId="0C65ABB3" w:rsidR="00A07D6B" w:rsidRPr="00B70466" w:rsidRDefault="00A07D6B" w:rsidP="00A07D6B">
      <w:pPr>
        <w:pStyle w:val="ac"/>
        <w:numPr>
          <w:ilvl w:val="1"/>
          <w:numId w:val="70"/>
        </w:numPr>
        <w:overflowPunct/>
        <w:autoSpaceDE/>
        <w:adjustRightInd/>
        <w:spacing w:after="0"/>
        <w:contextualSpacing/>
        <w:jc w:val="both"/>
        <w:textAlignment w:val="auto"/>
        <w:rPr>
          <w:rFonts w:ascii="Times New Roman" w:hAnsi="Times New Roman" w:cs="Times New Roman"/>
          <w:color w:val="000000"/>
        </w:rPr>
      </w:pPr>
      <w:r w:rsidRPr="00B70466">
        <w:rPr>
          <w:rFonts w:ascii="Times New Roman" w:hAnsi="Times New Roman" w:cs="Times New Roman"/>
          <w:color w:val="000000"/>
        </w:rPr>
        <w:t>Alt 3: Switching gap is always assumed at the SDL carrie</w:t>
      </w:r>
      <w:r w:rsidR="001161DF" w:rsidRPr="00B70466">
        <w:rPr>
          <w:rFonts w:ascii="Times New Roman" w:eastAsia="新細明體" w:hAnsi="Times New Roman" w:cs="Times New Roman"/>
          <w:color w:val="000000"/>
          <w:lang w:eastAsia="zh-TW"/>
        </w:rPr>
        <w:t>r</w:t>
      </w:r>
    </w:p>
    <w:p w14:paraId="2CB21E9D" w14:textId="67AC69B9" w:rsidR="001161DF" w:rsidRDefault="001161DF" w:rsidP="006611D4">
      <w:pPr>
        <w:rPr>
          <w:rFonts w:ascii="Arial" w:eastAsia="新細明體" w:hAnsi="Arial" w:cs="Arial"/>
          <w:lang w:eastAsia="zh-TW"/>
        </w:rPr>
      </w:pPr>
    </w:p>
    <w:p w14:paraId="7ABC5742" w14:textId="7D9C548B" w:rsidR="006611D4" w:rsidRDefault="001161DF" w:rsidP="006611D4">
      <w:pPr>
        <w:rPr>
          <w:rFonts w:ascii="Arial" w:eastAsia="新細明體" w:hAnsi="Arial" w:cs="Arial"/>
          <w:lang w:eastAsia="zh-TW"/>
        </w:rPr>
      </w:pPr>
      <w:r>
        <w:rPr>
          <w:rFonts w:ascii="Arial" w:eastAsia="新細明體" w:hAnsi="Arial" w:cs="Arial"/>
          <w:lang w:eastAsia="zh-TW"/>
        </w:rPr>
        <w:t xml:space="preserve">It can be found the location of switching period from </w:t>
      </w:r>
      <w:bookmarkStart w:id="14" w:name="OLE_LINK5"/>
      <w:r>
        <w:rPr>
          <w:rFonts w:ascii="Arial" w:eastAsia="新細明體" w:hAnsi="Arial" w:cs="Arial"/>
          <w:lang w:eastAsia="zh-TW"/>
        </w:rPr>
        <w:t>SDL carrier to FDD carrier</w:t>
      </w:r>
      <w:bookmarkEnd w:id="14"/>
      <w:r>
        <w:rPr>
          <w:rFonts w:ascii="Arial" w:eastAsia="新細明體" w:hAnsi="Arial" w:cs="Arial"/>
          <w:lang w:eastAsia="zh-TW"/>
        </w:rPr>
        <w:t xml:space="preserve"> has been concluded, </w:t>
      </w:r>
      <w:r w:rsidRPr="001161DF">
        <w:rPr>
          <w:rFonts w:ascii="Arial" w:eastAsia="新細明體" w:hAnsi="Arial" w:cs="Arial"/>
          <w:lang w:eastAsia="zh-TW"/>
        </w:rPr>
        <w:t xml:space="preserve">always assumed </w:t>
      </w:r>
      <w:bookmarkStart w:id="15" w:name="OLE_LINK6"/>
      <w:r w:rsidRPr="001161DF">
        <w:rPr>
          <w:rFonts w:ascii="Arial" w:eastAsia="新細明體" w:hAnsi="Arial" w:cs="Arial"/>
          <w:lang w:eastAsia="zh-TW"/>
        </w:rPr>
        <w:t>at the “switch from” carrier, i.e., SDL carrier</w:t>
      </w:r>
      <w:r>
        <w:rPr>
          <w:rFonts w:ascii="Arial" w:eastAsia="新細明體" w:hAnsi="Arial" w:cs="Arial"/>
          <w:lang w:eastAsia="zh-TW"/>
        </w:rPr>
        <w:t>.</w:t>
      </w:r>
      <w:bookmarkEnd w:id="15"/>
      <w:r>
        <w:rPr>
          <w:rFonts w:ascii="Arial" w:eastAsia="新細明體" w:hAnsi="Arial" w:cs="Arial"/>
          <w:lang w:eastAsia="zh-TW"/>
        </w:rPr>
        <w:t xml:space="preserve"> The </w:t>
      </w:r>
      <w:bookmarkStart w:id="16" w:name="OLE_LINK9"/>
      <w:r>
        <w:rPr>
          <w:rFonts w:ascii="Arial" w:eastAsia="新細明體" w:hAnsi="Arial" w:cs="Arial"/>
          <w:lang w:eastAsia="zh-TW"/>
        </w:rPr>
        <w:t>location of switching period from FDD carrier to SDL carrier</w:t>
      </w:r>
      <w:bookmarkEnd w:id="16"/>
      <w:r>
        <w:rPr>
          <w:rFonts w:ascii="Arial" w:eastAsia="新細明體" w:hAnsi="Arial" w:cs="Arial"/>
          <w:lang w:eastAsia="zh-TW"/>
        </w:rPr>
        <w:t xml:space="preserve"> is still under discussion in RAN1.</w:t>
      </w:r>
    </w:p>
    <w:p w14:paraId="300A1A06" w14:textId="2838E121" w:rsidR="001161DF" w:rsidRPr="001161DF" w:rsidRDefault="001161DF" w:rsidP="006611D4">
      <w:pPr>
        <w:rPr>
          <w:rFonts w:ascii="Arial" w:eastAsia="新細明體" w:hAnsi="Arial" w:cs="Arial"/>
          <w:b/>
          <w:bCs/>
          <w:lang w:eastAsia="zh-TW"/>
        </w:rPr>
      </w:pPr>
      <w:bookmarkStart w:id="17" w:name="OLE_LINK53"/>
      <w:bookmarkStart w:id="18" w:name="OLE_LINK55"/>
      <w:r w:rsidRPr="001161DF">
        <w:rPr>
          <w:rFonts w:ascii="Arial" w:eastAsia="新細明體" w:hAnsi="Arial" w:cs="Arial" w:hint="eastAsia"/>
          <w:b/>
          <w:bCs/>
          <w:lang w:eastAsia="zh-TW"/>
        </w:rPr>
        <w:t>O</w:t>
      </w:r>
      <w:r w:rsidRPr="001161DF">
        <w:rPr>
          <w:rFonts w:ascii="Arial" w:eastAsia="新細明體" w:hAnsi="Arial" w:cs="Arial"/>
          <w:b/>
          <w:bCs/>
          <w:lang w:eastAsia="zh-TW"/>
        </w:rPr>
        <w:t>bservation 1:</w:t>
      </w:r>
      <w:bookmarkEnd w:id="17"/>
      <w:r w:rsidRPr="001161DF">
        <w:rPr>
          <w:rFonts w:ascii="Arial" w:eastAsia="新細明體" w:hAnsi="Arial" w:cs="Arial"/>
          <w:b/>
          <w:bCs/>
          <w:lang w:eastAsia="zh-TW"/>
        </w:rPr>
        <w:t xml:space="preserve"> The location of </w:t>
      </w:r>
      <w:bookmarkStart w:id="19" w:name="OLE_LINK10"/>
      <w:r w:rsidRPr="001161DF">
        <w:rPr>
          <w:rFonts w:ascii="Arial" w:eastAsia="新細明體" w:hAnsi="Arial" w:cs="Arial"/>
          <w:b/>
          <w:bCs/>
          <w:lang w:eastAsia="zh-TW"/>
        </w:rPr>
        <w:t xml:space="preserve">switching period </w:t>
      </w:r>
      <w:r w:rsidR="00EF2516">
        <w:rPr>
          <w:rFonts w:ascii="Arial" w:eastAsia="新細明體" w:hAnsi="Arial" w:cs="Arial"/>
          <w:b/>
          <w:bCs/>
          <w:lang w:eastAsia="zh-TW"/>
        </w:rPr>
        <w:t xml:space="preserve">from </w:t>
      </w:r>
      <w:bookmarkStart w:id="20" w:name="OLE_LINK11"/>
      <w:r w:rsidRPr="001161DF">
        <w:rPr>
          <w:rFonts w:ascii="Arial" w:eastAsia="新細明體" w:hAnsi="Arial" w:cs="Arial"/>
          <w:b/>
          <w:bCs/>
          <w:lang w:eastAsia="zh-TW"/>
        </w:rPr>
        <w:t>SDL carrier to FDD carrier</w:t>
      </w:r>
      <w:bookmarkEnd w:id="20"/>
      <w:r w:rsidRPr="001161DF">
        <w:rPr>
          <w:rFonts w:ascii="Arial" w:eastAsia="新細明體" w:hAnsi="Arial" w:cs="Arial"/>
          <w:b/>
          <w:bCs/>
          <w:lang w:eastAsia="zh-TW"/>
        </w:rPr>
        <w:t xml:space="preserve"> </w:t>
      </w:r>
      <w:bookmarkEnd w:id="19"/>
      <w:r w:rsidRPr="001161DF">
        <w:rPr>
          <w:rFonts w:ascii="Arial" w:eastAsia="新細明體" w:hAnsi="Arial" w:cs="Arial"/>
          <w:b/>
          <w:bCs/>
          <w:lang w:eastAsia="zh-TW"/>
        </w:rPr>
        <w:t>shall always be at the “switch from” carrier, i.e., SDL carrier.</w:t>
      </w:r>
      <w:r>
        <w:rPr>
          <w:rFonts w:ascii="Arial" w:eastAsia="新細明體" w:hAnsi="Arial" w:cs="Arial"/>
          <w:b/>
          <w:bCs/>
          <w:lang w:eastAsia="zh-TW"/>
        </w:rPr>
        <w:t xml:space="preserve"> RAN1 will further discuss </w:t>
      </w:r>
      <w:r w:rsidRPr="001161DF">
        <w:rPr>
          <w:rFonts w:ascii="Arial" w:eastAsia="新細明體" w:hAnsi="Arial" w:cs="Arial"/>
          <w:b/>
          <w:bCs/>
          <w:lang w:eastAsia="zh-TW"/>
        </w:rPr>
        <w:t>location of switching period from FDD carrier to SDL carrier</w:t>
      </w:r>
    </w:p>
    <w:bookmarkEnd w:id="18"/>
    <w:p w14:paraId="5FF647CB" w14:textId="5BEEE31E" w:rsidR="00BC6AF5" w:rsidRPr="00BC6AF5" w:rsidRDefault="00BC6AF5" w:rsidP="003B2AF1">
      <w:pPr>
        <w:rPr>
          <w:rFonts w:ascii="Arial" w:eastAsia="新細明體" w:hAnsi="Arial" w:cs="Arial"/>
          <w:b/>
          <w:bCs/>
          <w:lang w:eastAsia="zh-TW"/>
        </w:rPr>
      </w:pPr>
    </w:p>
    <w:p w14:paraId="2CD9823B" w14:textId="77777777" w:rsidR="006611D4" w:rsidRDefault="003D2351" w:rsidP="006611D4">
      <w:pPr>
        <w:rPr>
          <w:rFonts w:ascii="Arial" w:eastAsia="新細明體" w:hAnsi="Arial" w:cs="Arial"/>
          <w:b/>
          <w:bCs/>
          <w:lang w:eastAsia="zh-TW"/>
        </w:rPr>
      </w:pPr>
      <w:bookmarkStart w:id="21" w:name="OLE_LINK46"/>
      <w:bookmarkStart w:id="22" w:name="OLE_LINK63"/>
      <w:r w:rsidRPr="003D2351">
        <w:rPr>
          <w:rFonts w:ascii="Arial" w:hAnsi="Arial" w:cs="Arial"/>
          <w:b/>
          <w:bCs/>
        </w:rPr>
        <w:t xml:space="preserve">Issue </w:t>
      </w:r>
      <w:r w:rsidR="001101CB">
        <w:rPr>
          <w:rFonts w:ascii="Arial" w:hAnsi="Arial" w:cs="Arial"/>
          <w:b/>
          <w:bCs/>
        </w:rPr>
        <w:t>2</w:t>
      </w:r>
      <w:r w:rsidRPr="003D2351">
        <w:rPr>
          <w:rFonts w:ascii="Arial" w:hAnsi="Arial" w:cs="Arial"/>
          <w:b/>
          <w:bCs/>
        </w:rPr>
        <w:t xml:space="preserve">: </w:t>
      </w:r>
      <w:r w:rsidR="006611D4">
        <w:rPr>
          <w:rFonts w:ascii="Arial" w:eastAsia="新細明體" w:hAnsi="Arial" w:cs="Arial"/>
          <w:b/>
          <w:bCs/>
          <w:lang w:eastAsia="zh-TW"/>
        </w:rPr>
        <w:t>Time mask for switching</w:t>
      </w:r>
    </w:p>
    <w:p w14:paraId="3637097F" w14:textId="5F045E8E" w:rsidR="006611D4" w:rsidRDefault="009336E1" w:rsidP="001161DF">
      <w:pPr>
        <w:rPr>
          <w:rFonts w:ascii="Arial" w:eastAsia="新細明體" w:hAnsi="Arial" w:cs="Arial"/>
          <w:lang w:eastAsia="zh-TW"/>
        </w:rPr>
      </w:pPr>
      <w:r>
        <w:rPr>
          <w:noProof/>
        </w:rPr>
        <mc:AlternateContent>
          <mc:Choice Requires="wps">
            <w:drawing>
              <wp:anchor distT="0" distB="0" distL="114300" distR="114300" simplePos="0" relativeHeight="251661312" behindDoc="0" locked="0" layoutInCell="1" allowOverlap="1" wp14:anchorId="5536BAF9" wp14:editId="3DDBBFE0">
                <wp:simplePos x="0" y="0"/>
                <wp:positionH relativeFrom="column">
                  <wp:posOffset>-99695</wp:posOffset>
                </wp:positionH>
                <wp:positionV relativeFrom="paragraph">
                  <wp:posOffset>501951</wp:posOffset>
                </wp:positionV>
                <wp:extent cx="6395720" cy="673769"/>
                <wp:effectExtent l="0" t="0" r="24130" b="12065"/>
                <wp:wrapNone/>
                <wp:docPr id="2" name="矩形 2"/>
                <wp:cNvGraphicFramePr/>
                <a:graphic xmlns:a="http://schemas.openxmlformats.org/drawingml/2006/main">
                  <a:graphicData uri="http://schemas.microsoft.com/office/word/2010/wordprocessingShape">
                    <wps:wsp>
                      <wps:cNvSpPr/>
                      <wps:spPr>
                        <a:xfrm>
                          <a:off x="0" y="0"/>
                          <a:ext cx="6395720" cy="673769"/>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C3082B" id="矩形 2" o:spid="_x0000_s1026" style="position:absolute;margin-left:-7.85pt;margin-top:39.5pt;width:503.6pt;height:5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" filled="f" strokecolor="black [3213]" strokeweight="1pt"/>
            </w:pict>
          </mc:Fallback>
        </mc:AlternateContent>
      </w:r>
      <w:r w:rsidR="006611D4">
        <w:rPr>
          <w:rFonts w:ascii="Arial" w:eastAsia="新細明體" w:hAnsi="Arial" w:cs="Arial"/>
          <w:lang w:eastAsia="zh-TW"/>
        </w:rPr>
        <w:t xml:space="preserve">In last RAN4 meeting, time mask for switching is still open for discussion. </w:t>
      </w:r>
      <w:r w:rsidR="001161DF">
        <w:rPr>
          <w:rFonts w:ascii="Arial" w:eastAsia="新細明體" w:hAnsi="Arial" w:cs="Arial"/>
          <w:lang w:eastAsia="zh-TW"/>
        </w:rPr>
        <w:t xml:space="preserve">Following the observation in issue 1 discussion, the time mask can be specified for </w:t>
      </w:r>
      <w:r w:rsidR="00EF2516">
        <w:rPr>
          <w:rFonts w:ascii="Arial" w:eastAsia="新細明體" w:hAnsi="Arial" w:cs="Arial"/>
          <w:lang w:eastAsia="zh-TW"/>
        </w:rPr>
        <w:t xml:space="preserve">the </w:t>
      </w:r>
      <w:r w:rsidR="00EF2516" w:rsidRPr="00EF2516">
        <w:rPr>
          <w:rFonts w:ascii="Arial" w:eastAsia="新細明體" w:hAnsi="Arial" w:cs="Arial"/>
          <w:lang w:eastAsia="zh-TW"/>
        </w:rPr>
        <w:t>switching from SDL carrier to FDD carrier</w:t>
      </w:r>
      <w:r>
        <w:rPr>
          <w:rFonts w:ascii="Arial" w:eastAsia="新細明體" w:hAnsi="Arial" w:cs="Arial"/>
          <w:lang w:eastAsia="zh-TW"/>
        </w:rPr>
        <w:t>. And to follow another RAN1 agreement copied below, we provide the time mask proposal in proposal 1.</w:t>
      </w:r>
    </w:p>
    <w:p w14:paraId="3BF04094" w14:textId="14FCC1A3" w:rsidR="009336E1" w:rsidRDefault="009336E1" w:rsidP="001161DF">
      <w:pPr>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AN1#120bis agreement:</w:t>
      </w:r>
    </w:p>
    <w:p w14:paraId="12F5B9B1" w14:textId="192DAD15" w:rsidR="009336E1" w:rsidRDefault="009336E1" w:rsidP="001161DF">
      <w:pPr>
        <w:rPr>
          <w:rFonts w:ascii="Arial" w:eastAsia="新細明體" w:hAnsi="Arial" w:cs="Arial"/>
          <w:lang w:eastAsia="zh-TW"/>
        </w:rPr>
      </w:pPr>
      <w:r w:rsidRPr="009336E1">
        <w:rPr>
          <w:rFonts w:ascii="Arial" w:eastAsia="新細明體" w:hAnsi="Arial" w:cs="Arial"/>
          <w:lang w:eastAsia="zh-TW"/>
        </w:rPr>
        <w:t>For Rel-19 low NR band carrier aggregation via switching, the semi-static switching pattern and corresponding switching gap are based on the downlink timing (DL reception time at UE side) of Pcell.</w:t>
      </w:r>
    </w:p>
    <w:p w14:paraId="01E7BCD7" w14:textId="0AC250BF" w:rsidR="00EF2516" w:rsidRPr="00D242A0" w:rsidRDefault="00EF2516" w:rsidP="001161DF">
      <w:pPr>
        <w:rPr>
          <w:rFonts w:ascii="Arial" w:hAnsi="Arial" w:cs="Arial"/>
          <w:b/>
          <w:bCs/>
          <w:i/>
          <w:iCs/>
          <w:lang w:val="en-US"/>
        </w:rPr>
      </w:pPr>
      <w:bookmarkStart w:id="23" w:name="OLE_LINK56"/>
      <w:r w:rsidRPr="00D242A0">
        <w:rPr>
          <w:rFonts w:ascii="Arial" w:eastAsia="新細明體" w:hAnsi="Arial" w:cs="Arial" w:hint="eastAsia"/>
          <w:b/>
          <w:bCs/>
          <w:i/>
          <w:iCs/>
          <w:lang w:eastAsia="zh-TW"/>
        </w:rPr>
        <w:t>P</w:t>
      </w:r>
      <w:r w:rsidRPr="00D242A0">
        <w:rPr>
          <w:rFonts w:ascii="Arial" w:eastAsia="新細明體" w:hAnsi="Arial" w:cs="Arial"/>
          <w:b/>
          <w:bCs/>
          <w:i/>
          <w:iCs/>
          <w:lang w:eastAsia="zh-TW"/>
        </w:rPr>
        <w:t>roposal 1: The proposed</w:t>
      </w:r>
      <w:r w:rsidR="00E7279B" w:rsidRPr="00D242A0">
        <w:rPr>
          <w:rFonts w:ascii="Arial" w:eastAsia="新細明體" w:hAnsi="Arial" w:cs="Arial"/>
          <w:b/>
          <w:bCs/>
          <w:i/>
          <w:iCs/>
          <w:lang w:eastAsia="zh-TW"/>
        </w:rPr>
        <w:t xml:space="preserve"> </w:t>
      </w:r>
      <w:bookmarkStart w:id="24" w:name="OLE_LINK12"/>
      <w:r w:rsidR="00E7279B" w:rsidRPr="00D242A0">
        <w:rPr>
          <w:rFonts w:ascii="Arial" w:eastAsia="新細明體" w:hAnsi="Arial" w:cs="Arial"/>
          <w:b/>
          <w:bCs/>
          <w:i/>
          <w:iCs/>
          <w:lang w:eastAsia="zh-TW"/>
        </w:rPr>
        <w:t xml:space="preserve">switching time mask from SDL carrier to FDD carrier </w:t>
      </w:r>
      <w:bookmarkEnd w:id="24"/>
      <w:r w:rsidR="00E7279B" w:rsidRPr="00D242A0">
        <w:rPr>
          <w:rFonts w:ascii="Arial" w:eastAsia="新細明體" w:hAnsi="Arial" w:cs="Arial"/>
          <w:b/>
          <w:bCs/>
          <w:i/>
          <w:iCs/>
          <w:lang w:eastAsia="zh-TW"/>
        </w:rPr>
        <w:t>is</w:t>
      </w:r>
      <w:r w:rsidR="009336E1">
        <w:rPr>
          <w:rFonts w:ascii="Arial" w:eastAsia="新細明體" w:hAnsi="Arial" w:cs="Arial"/>
          <w:b/>
          <w:bCs/>
          <w:i/>
          <w:iCs/>
          <w:lang w:eastAsia="zh-TW"/>
        </w:rPr>
        <w:t xml:space="preserve"> </w:t>
      </w:r>
      <w:r w:rsidR="009336E1" w:rsidRPr="009336E1">
        <w:rPr>
          <w:rFonts w:ascii="Arial" w:eastAsia="新細明體" w:hAnsi="Arial" w:cs="Arial"/>
          <w:b/>
          <w:bCs/>
          <w:i/>
          <w:iCs/>
          <w:lang w:eastAsia="zh-TW"/>
        </w:rPr>
        <w:t>based on the downlink timing (DL reception time at UE side) of Pcell</w:t>
      </w:r>
      <w:r w:rsidR="009336E1">
        <w:rPr>
          <w:rFonts w:ascii="Arial" w:eastAsia="新細明體" w:hAnsi="Arial" w:cs="Arial"/>
          <w:b/>
          <w:bCs/>
          <w:i/>
          <w:iCs/>
          <w:lang w:eastAsia="zh-TW"/>
        </w:rPr>
        <w:t xml:space="preserve"> and</w:t>
      </w:r>
      <w:r w:rsidR="00E7279B" w:rsidRPr="00D242A0">
        <w:rPr>
          <w:rFonts w:ascii="Arial" w:eastAsia="新細明體" w:hAnsi="Arial" w:cs="Arial"/>
          <w:b/>
          <w:bCs/>
          <w:i/>
          <w:iCs/>
          <w:lang w:eastAsia="zh-TW"/>
        </w:rPr>
        <w:t xml:space="preserve"> illustrated in below Figure 1. The network </w:t>
      </w:r>
      <w:r w:rsidR="00E7279B" w:rsidRPr="00D242A0">
        <w:rPr>
          <w:rFonts w:ascii="Arial" w:eastAsia="新細明體" w:hAnsi="Arial" w:cs="Arial"/>
          <w:b/>
          <w:bCs/>
          <w:i/>
          <w:iCs/>
          <w:lang w:eastAsia="zh-TW"/>
        </w:rPr>
        <w:lastRenderedPageBreak/>
        <w:t>shall guarantee enough switching gap includ</w:t>
      </w:r>
      <w:r w:rsidR="00284AE1">
        <w:rPr>
          <w:rFonts w:ascii="Arial" w:eastAsia="新細明體" w:hAnsi="Arial" w:cs="Arial"/>
          <w:b/>
          <w:bCs/>
          <w:i/>
          <w:iCs/>
          <w:lang w:eastAsia="zh-TW"/>
        </w:rPr>
        <w:t>ing</w:t>
      </w:r>
      <w:r w:rsidR="00E7279B" w:rsidRPr="00D242A0">
        <w:rPr>
          <w:rFonts w:ascii="Arial" w:eastAsia="新細明體" w:hAnsi="Arial" w:cs="Arial"/>
          <w:b/>
          <w:bCs/>
          <w:i/>
          <w:iCs/>
          <w:lang w:eastAsia="zh-TW"/>
        </w:rPr>
        <w:t xml:space="preserve"> 10us transient period, switching period Xus and timing advance (</w:t>
      </w:r>
      <w:r w:rsidR="00E7279B" w:rsidRPr="00D242A0">
        <w:rPr>
          <w:rFonts w:ascii="Arial" w:hAnsi="Arial" w:cs="Arial"/>
          <w:b/>
          <w:bCs/>
          <w:i/>
          <w:iCs/>
          <w:lang w:val="en-US"/>
        </w:rPr>
        <w:t>T</w:t>
      </w:r>
      <w:r w:rsidR="00E7279B" w:rsidRPr="00D242A0">
        <w:rPr>
          <w:rFonts w:ascii="Arial" w:hAnsi="Arial" w:cs="Arial"/>
          <w:b/>
          <w:bCs/>
          <w:i/>
          <w:iCs/>
          <w:vertAlign w:val="subscript"/>
          <w:lang w:val="en-US"/>
        </w:rPr>
        <w:t>A</w:t>
      </w:r>
      <w:r w:rsidR="00E7279B" w:rsidRPr="00D242A0">
        <w:rPr>
          <w:rFonts w:ascii="Arial" w:eastAsia="新細明體" w:hAnsi="Arial" w:cs="Arial"/>
          <w:b/>
          <w:bCs/>
          <w:i/>
          <w:iCs/>
          <w:lang w:val="en-US" w:eastAsia="zh-TW"/>
        </w:rPr>
        <w:t>)</w:t>
      </w:r>
      <w:r w:rsidR="00284AE1" w:rsidRPr="00284AE1">
        <w:rPr>
          <w:rFonts w:ascii="Arial" w:eastAsia="新細明體" w:hAnsi="Arial" w:cs="Arial"/>
          <w:b/>
          <w:bCs/>
          <w:i/>
          <w:iCs/>
          <w:color w:val="FF0000"/>
          <w:lang w:val="en-US" w:eastAsia="zh-TW"/>
        </w:rPr>
        <w:t xml:space="preserve"> </w:t>
      </w:r>
    </w:p>
    <w:p w14:paraId="3A447110" w14:textId="619131AB" w:rsidR="006611D4" w:rsidRPr="000165F2" w:rsidRDefault="000165F2" w:rsidP="006611D4">
      <w:pPr>
        <w:jc w:val="center"/>
        <w:rPr>
          <w:rFonts w:ascii="Arial" w:eastAsia="新細明體" w:hAnsi="Arial" w:cs="Arial"/>
          <w:b/>
          <w:bCs/>
          <w:i/>
          <w:iCs/>
          <w:lang w:val="en-US" w:eastAsia="zh-TW"/>
        </w:rPr>
      </w:pPr>
      <w:r>
        <w:rPr>
          <w:rFonts w:ascii="Arial" w:eastAsia="新細明體" w:hAnsi="Arial" w:cs="Arial"/>
          <w:b/>
          <w:bCs/>
          <w:i/>
          <w:iCs/>
          <w:noProof/>
          <w:lang w:val="en-US" w:eastAsia="zh-TW"/>
        </w:rPr>
        <w:drawing>
          <wp:inline distT="0" distB="0" distL="0" distR="0" wp14:anchorId="1820FAF1" wp14:editId="61F07A50">
            <wp:extent cx="5253355" cy="1919605"/>
            <wp:effectExtent l="0" t="0" r="4445" b="444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3355" cy="1919605"/>
                    </a:xfrm>
                    <a:prstGeom prst="rect">
                      <a:avLst/>
                    </a:prstGeom>
                    <a:noFill/>
                    <a:ln>
                      <a:noFill/>
                    </a:ln>
                  </pic:spPr>
                </pic:pic>
              </a:graphicData>
            </a:graphic>
          </wp:inline>
        </w:drawing>
      </w:r>
    </w:p>
    <w:p w14:paraId="6EB24994" w14:textId="5BECCDDF" w:rsidR="006611D4" w:rsidRDefault="006611D4" w:rsidP="006611D4">
      <w:pPr>
        <w:jc w:val="center"/>
        <w:rPr>
          <w:rFonts w:ascii="Arial" w:eastAsia="新細明體" w:hAnsi="Arial" w:cs="Arial"/>
          <w:b/>
          <w:bCs/>
          <w:lang w:eastAsia="zh-TW"/>
        </w:rPr>
      </w:pPr>
      <w:r>
        <w:rPr>
          <w:rFonts w:ascii="Arial" w:eastAsia="新細明體" w:hAnsi="Arial" w:cs="Arial"/>
          <w:b/>
          <w:bCs/>
          <w:lang w:eastAsia="zh-TW"/>
        </w:rPr>
        <w:t xml:space="preserve">Figure </w:t>
      </w:r>
      <w:r w:rsidR="00E7279B">
        <w:rPr>
          <w:rFonts w:ascii="Arial" w:eastAsia="新細明體" w:hAnsi="Arial" w:cs="Arial"/>
          <w:b/>
          <w:bCs/>
          <w:lang w:eastAsia="zh-TW"/>
        </w:rPr>
        <w:t>1</w:t>
      </w:r>
      <w:r>
        <w:rPr>
          <w:rFonts w:ascii="Arial" w:eastAsia="新細明體" w:hAnsi="Arial" w:cs="Arial"/>
          <w:b/>
          <w:bCs/>
          <w:lang w:eastAsia="zh-TW"/>
        </w:rPr>
        <w:t>. Time mask for the LB CA switching</w:t>
      </w:r>
    </w:p>
    <w:bookmarkEnd w:id="23"/>
    <w:p w14:paraId="7B2B13AA" w14:textId="38BD0320" w:rsidR="006611D4" w:rsidRPr="00D242A0" w:rsidRDefault="00D242A0" w:rsidP="003D2351">
      <w:pPr>
        <w:rPr>
          <w:rFonts w:ascii="Arial" w:hAnsi="Arial" w:cs="Arial"/>
        </w:rPr>
      </w:pPr>
      <w:r>
        <w:rPr>
          <w:rFonts w:ascii="Arial" w:hAnsi="Arial" w:cs="Arial"/>
        </w:rPr>
        <w:t xml:space="preserve">The </w:t>
      </w:r>
      <w:r w:rsidRPr="00D242A0">
        <w:rPr>
          <w:rFonts w:ascii="Arial" w:hAnsi="Arial" w:cs="Arial"/>
        </w:rPr>
        <w:t xml:space="preserve">switching time mask from </w:t>
      </w:r>
      <w:r>
        <w:rPr>
          <w:rFonts w:ascii="Arial" w:hAnsi="Arial" w:cs="Arial"/>
        </w:rPr>
        <w:t>FDD</w:t>
      </w:r>
      <w:r w:rsidRPr="00D242A0">
        <w:rPr>
          <w:rFonts w:ascii="Arial" w:hAnsi="Arial" w:cs="Arial"/>
        </w:rPr>
        <w:t xml:space="preserve"> carrier to </w:t>
      </w:r>
      <w:r>
        <w:rPr>
          <w:rFonts w:ascii="Arial" w:hAnsi="Arial" w:cs="Arial"/>
        </w:rPr>
        <w:t>SDL</w:t>
      </w:r>
      <w:r w:rsidRPr="00D242A0">
        <w:rPr>
          <w:rFonts w:ascii="Arial" w:hAnsi="Arial" w:cs="Arial"/>
        </w:rPr>
        <w:t xml:space="preserve"> carrier</w:t>
      </w:r>
      <w:r>
        <w:rPr>
          <w:rFonts w:ascii="Arial" w:hAnsi="Arial" w:cs="Arial"/>
        </w:rPr>
        <w:t xml:space="preserve"> will depend on the discussion outcome of next RAN1 meeting.</w:t>
      </w:r>
    </w:p>
    <w:p w14:paraId="59517946" w14:textId="606BD765" w:rsidR="006611D4" w:rsidRDefault="006611D4" w:rsidP="003D2351">
      <w:pPr>
        <w:rPr>
          <w:rFonts w:ascii="Arial" w:hAnsi="Arial" w:cs="Arial"/>
          <w:b/>
          <w:bCs/>
        </w:rPr>
      </w:pPr>
    </w:p>
    <w:p w14:paraId="3DAB4F12" w14:textId="50A61405" w:rsidR="003D2351" w:rsidRDefault="006611D4" w:rsidP="003D2351">
      <w:pPr>
        <w:rPr>
          <w:rFonts w:ascii="Arial" w:eastAsia="新細明體" w:hAnsi="Arial" w:cs="Arial"/>
          <w:b/>
          <w:bCs/>
          <w:lang w:eastAsia="zh-TW"/>
        </w:rPr>
      </w:pPr>
      <w:r>
        <w:rPr>
          <w:rFonts w:ascii="Arial" w:hAnsi="Arial" w:cs="Arial"/>
          <w:b/>
          <w:bCs/>
        </w:rPr>
        <w:t>I</w:t>
      </w:r>
      <w:r>
        <w:rPr>
          <w:rFonts w:ascii="Arial" w:eastAsia="新細明體" w:hAnsi="Arial" w:cs="Arial" w:hint="eastAsia"/>
          <w:b/>
          <w:bCs/>
          <w:lang w:eastAsia="zh-TW"/>
        </w:rPr>
        <w:t>s</w:t>
      </w:r>
      <w:r>
        <w:rPr>
          <w:rFonts w:ascii="Arial" w:eastAsia="新細明體" w:hAnsi="Arial" w:cs="Arial"/>
          <w:b/>
          <w:bCs/>
          <w:lang w:eastAsia="zh-TW"/>
        </w:rPr>
        <w:t xml:space="preserve">sue 3: </w:t>
      </w:r>
      <w:bookmarkEnd w:id="21"/>
      <w:r>
        <w:rPr>
          <w:rFonts w:ascii="Arial" w:eastAsia="新細明體" w:hAnsi="Arial" w:cs="Arial"/>
          <w:b/>
          <w:bCs/>
          <w:lang w:eastAsia="zh-TW"/>
        </w:rPr>
        <w:t>Applicab</w:t>
      </w:r>
      <w:r w:rsidR="008C36AA">
        <w:rPr>
          <w:rFonts w:ascii="Arial" w:eastAsia="新細明體" w:hAnsi="Arial" w:cs="Arial"/>
          <w:b/>
          <w:bCs/>
          <w:lang w:eastAsia="zh-TW"/>
        </w:rPr>
        <w:t>le fallback configuration discussion</w:t>
      </w:r>
      <w:r>
        <w:rPr>
          <w:rFonts w:ascii="Arial" w:eastAsia="新細明體" w:hAnsi="Arial" w:cs="Arial"/>
          <w:b/>
          <w:bCs/>
          <w:lang w:eastAsia="zh-TW"/>
        </w:rPr>
        <w:t xml:space="preserve"> of </w:t>
      </w:r>
      <w:r w:rsidR="008C36AA">
        <w:rPr>
          <w:rFonts w:ascii="Arial" w:eastAsia="新細明體" w:hAnsi="Arial" w:cs="Arial"/>
          <w:b/>
          <w:bCs/>
          <w:lang w:eastAsia="zh-TW"/>
        </w:rPr>
        <w:t xml:space="preserve">higher order combo when supporting of </w:t>
      </w:r>
      <w:r>
        <w:rPr>
          <w:rFonts w:ascii="Arial" w:eastAsia="新細明體" w:hAnsi="Arial" w:cs="Arial"/>
          <w:b/>
          <w:bCs/>
          <w:lang w:eastAsia="zh-TW"/>
        </w:rPr>
        <w:t>the low NR band switching feature</w:t>
      </w:r>
      <w:r w:rsidR="008C36AA">
        <w:rPr>
          <w:rFonts w:ascii="Arial" w:eastAsia="新細明體" w:hAnsi="Arial" w:cs="Arial"/>
          <w:b/>
          <w:bCs/>
          <w:lang w:eastAsia="zh-TW"/>
        </w:rPr>
        <w:t xml:space="preserve"> is reported </w:t>
      </w:r>
    </w:p>
    <w:p w14:paraId="088B6C07" w14:textId="77562EEE" w:rsidR="006611D4" w:rsidRDefault="002C7F80" w:rsidP="003D2351">
      <w:pPr>
        <w:rPr>
          <w:rFonts w:ascii="Arial" w:eastAsia="新細明體" w:hAnsi="Arial" w:cs="Arial"/>
          <w:lang w:eastAsia="zh-TW"/>
        </w:rPr>
      </w:pPr>
      <w:r>
        <w:rPr>
          <w:noProof/>
        </w:rPr>
        <mc:AlternateContent>
          <mc:Choice Requires="wps">
            <w:drawing>
              <wp:anchor distT="0" distB="0" distL="114300" distR="114300" simplePos="0" relativeHeight="251663360" behindDoc="0" locked="0" layoutInCell="1" allowOverlap="1" wp14:anchorId="6F9E0B9D" wp14:editId="313317A8">
                <wp:simplePos x="0" y="0"/>
                <wp:positionH relativeFrom="margin">
                  <wp:align>center</wp:align>
                </wp:positionH>
                <wp:positionV relativeFrom="paragraph">
                  <wp:posOffset>195046</wp:posOffset>
                </wp:positionV>
                <wp:extent cx="6395720" cy="1275347"/>
                <wp:effectExtent l="0" t="0" r="24130" b="20320"/>
                <wp:wrapNone/>
                <wp:docPr id="3" name="矩形 3"/>
                <wp:cNvGraphicFramePr/>
                <a:graphic xmlns:a="http://schemas.openxmlformats.org/drawingml/2006/main">
                  <a:graphicData uri="http://schemas.microsoft.com/office/word/2010/wordprocessingShape">
                    <wps:wsp>
                      <wps:cNvSpPr/>
                      <wps:spPr>
                        <a:xfrm>
                          <a:off x="0" y="0"/>
                          <a:ext cx="6395720" cy="12753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062C34" id="矩形 3" o:spid="_x0000_s1026" style="position:absolute;margin-left:0;margin-top:15.35pt;width:503.6pt;height:100.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" filled="f" strokecolor="black [3213]" strokeweight="1pt">
                <w10:wrap anchorx="margin"/>
              </v:rect>
            </w:pict>
          </mc:Fallback>
        </mc:AlternateContent>
      </w:r>
      <w:r w:rsidR="006611D4" w:rsidRPr="006611D4">
        <w:rPr>
          <w:rFonts w:ascii="Arial" w:eastAsia="新細明體" w:hAnsi="Arial" w:cs="Arial" w:hint="eastAsia"/>
          <w:lang w:eastAsia="zh-TW"/>
        </w:rPr>
        <w:t>I</w:t>
      </w:r>
      <w:r w:rsidR="006611D4" w:rsidRPr="006611D4">
        <w:rPr>
          <w:rFonts w:ascii="Arial" w:eastAsia="新細明體" w:hAnsi="Arial" w:cs="Arial"/>
          <w:lang w:eastAsia="zh-TW"/>
        </w:rPr>
        <w:t>n</w:t>
      </w:r>
      <w:r w:rsidR="006611D4">
        <w:rPr>
          <w:rFonts w:ascii="Arial" w:eastAsia="新細明體" w:hAnsi="Arial" w:cs="Arial"/>
          <w:lang w:eastAsia="zh-TW"/>
        </w:rPr>
        <w:t xml:space="preserve"> last RAN1 meeting, the agreements were reached and copied below:</w:t>
      </w:r>
    </w:p>
    <w:p w14:paraId="592139BA" w14:textId="7EE25BF0" w:rsidR="006611D4" w:rsidRDefault="006611D4" w:rsidP="006611D4">
      <w:pPr>
        <w:rPr>
          <w:rFonts w:eastAsia="DengXian"/>
          <w:highlight w:val="green"/>
          <w:lang w:val="en-US"/>
        </w:rPr>
      </w:pPr>
      <w:r>
        <w:rPr>
          <w:rFonts w:eastAsia="DengXian"/>
          <w:highlight w:val="green"/>
        </w:rPr>
        <w:t>RAN1 Agreement</w:t>
      </w:r>
    </w:p>
    <w:p w14:paraId="6AB07AC6" w14:textId="2360E3B7" w:rsidR="006611D4" w:rsidRPr="006611D4" w:rsidRDefault="006611D4" w:rsidP="006611D4">
      <w:pPr>
        <w:numPr>
          <w:ilvl w:val="0"/>
          <w:numId w:val="66"/>
        </w:numPr>
        <w:overflowPunct/>
        <w:autoSpaceDE/>
        <w:adjustRightInd/>
        <w:spacing w:after="0"/>
        <w:contextualSpacing/>
        <w:textAlignment w:val="auto"/>
        <w:rPr>
          <w:rFonts w:eastAsia="Batang"/>
          <w:color w:val="000000"/>
          <w:lang w:eastAsia="en-US"/>
        </w:rPr>
      </w:pPr>
      <w:r w:rsidRPr="006611D4">
        <w:rPr>
          <w:color w:val="000000"/>
        </w:rPr>
        <w:t xml:space="preserve">For Rel-19 low NR band carrier aggregation via switching, support only semi-static configuration of switching pattern to a UE based on UE-specific RRC configuration between the following two cases </w:t>
      </w:r>
    </w:p>
    <w:p w14:paraId="0F62E57C" w14:textId="77777777" w:rsidR="006611D4" w:rsidRPr="006611D4" w:rsidRDefault="006611D4" w:rsidP="006611D4">
      <w:pPr>
        <w:pStyle w:val="af5"/>
        <w:numPr>
          <w:ilvl w:val="0"/>
          <w:numId w:val="67"/>
        </w:numPr>
        <w:ind w:leftChars="0"/>
        <w:contextualSpacing/>
        <w:rPr>
          <w:rFonts w:eastAsia="MS Mincho"/>
          <w:color w:val="000000"/>
          <w:szCs w:val="20"/>
          <w:lang w:val="en-US" w:eastAsia="ja-JP"/>
        </w:rPr>
      </w:pPr>
      <w:r w:rsidRPr="006611D4">
        <w:rPr>
          <w:color w:val="000000"/>
          <w:szCs w:val="20"/>
        </w:rPr>
        <w:t>Case 1: Tx/Rx on FDD carrier 1 and no Rx on SDL carrier 2</w:t>
      </w:r>
    </w:p>
    <w:p w14:paraId="600A7A92" w14:textId="358715EC" w:rsidR="006611D4" w:rsidRPr="006611D4" w:rsidRDefault="006611D4" w:rsidP="006611D4">
      <w:pPr>
        <w:pStyle w:val="af5"/>
        <w:numPr>
          <w:ilvl w:val="0"/>
          <w:numId w:val="67"/>
        </w:numPr>
        <w:ind w:leftChars="0"/>
        <w:contextualSpacing/>
        <w:rPr>
          <w:color w:val="000000"/>
          <w:szCs w:val="20"/>
        </w:rPr>
      </w:pPr>
      <w:r w:rsidRPr="006611D4">
        <w:rPr>
          <w:color w:val="000000"/>
          <w:szCs w:val="20"/>
        </w:rPr>
        <w:t>Case 2: Rx on SDL carrier 2 and no Tx/Rx on FDD carrier 1</w:t>
      </w:r>
    </w:p>
    <w:p w14:paraId="0D0D198B" w14:textId="77777777" w:rsidR="006611D4" w:rsidRPr="006611D4" w:rsidRDefault="006611D4" w:rsidP="006611D4">
      <w:pPr>
        <w:numPr>
          <w:ilvl w:val="0"/>
          <w:numId w:val="68"/>
        </w:numPr>
        <w:overflowPunct/>
        <w:autoSpaceDE/>
        <w:adjustRightInd/>
        <w:spacing w:after="0"/>
        <w:contextualSpacing/>
        <w:textAlignment w:val="auto"/>
        <w:rPr>
          <w:color w:val="000000"/>
        </w:rPr>
      </w:pPr>
      <w:r w:rsidRPr="002C7F80">
        <w:rPr>
          <w:color w:val="000000"/>
          <w:highlight w:val="yellow"/>
        </w:rPr>
        <w:t>FDD carrier 1 is PCell and SDL carrier 2 is SCell</w:t>
      </w:r>
    </w:p>
    <w:p w14:paraId="0CF886C1" w14:textId="3848EC87" w:rsidR="006611D4" w:rsidRDefault="006611D4" w:rsidP="006611D4">
      <w:pPr>
        <w:pStyle w:val="ac"/>
        <w:numPr>
          <w:ilvl w:val="0"/>
          <w:numId w:val="68"/>
        </w:numPr>
        <w:overflowPunct/>
        <w:autoSpaceDE/>
        <w:adjustRightInd/>
        <w:spacing w:after="120"/>
        <w:contextualSpacing/>
        <w:jc w:val="both"/>
        <w:textAlignment w:val="auto"/>
        <w:rPr>
          <w:color w:val="000000"/>
        </w:rPr>
      </w:pPr>
      <w:r>
        <w:rPr>
          <w:color w:val="000000"/>
        </w:rPr>
        <w:t>SCS 15KHz on both carriers</w:t>
      </w:r>
    </w:p>
    <w:bookmarkEnd w:id="22"/>
    <w:p w14:paraId="65DD4014" w14:textId="523DDA3A" w:rsidR="008C36AA" w:rsidRDefault="008C36AA" w:rsidP="008C36AA">
      <w:pPr>
        <w:rPr>
          <w:rFonts w:ascii="Arial" w:eastAsia="新細明體" w:hAnsi="Arial" w:cs="Arial"/>
          <w:lang w:eastAsia="zh-TW"/>
        </w:rPr>
      </w:pPr>
      <w:r w:rsidRPr="008C36AA">
        <w:rPr>
          <w:rFonts w:ascii="Arial" w:hAnsi="Arial" w:cs="Arial"/>
        </w:rPr>
        <w:t>For the 2nd bullet, if following RAN1 agreement, when basket WI for LB CA switching is introduced, some questions may need to be clarified.</w:t>
      </w:r>
      <w:r>
        <w:rPr>
          <w:rFonts w:ascii="Arial" w:hAnsi="Arial" w:cs="Arial"/>
        </w:rPr>
        <w:t xml:space="preserve"> T</w:t>
      </w:r>
      <w:r>
        <w:rPr>
          <w:rFonts w:ascii="Arial" w:eastAsia="新細明體" w:hAnsi="Arial" w:cs="Arial" w:hint="eastAsia"/>
          <w:lang w:eastAsia="zh-TW"/>
        </w:rPr>
        <w:t>a</w:t>
      </w:r>
      <w:r>
        <w:rPr>
          <w:rFonts w:ascii="Arial" w:eastAsia="新細明體" w:hAnsi="Arial" w:cs="Arial"/>
          <w:lang w:eastAsia="zh-TW"/>
        </w:rPr>
        <w:t>king an existing higher order CA combo,</w:t>
      </w:r>
      <w:r w:rsidRPr="008C36AA">
        <w:t xml:space="preserve"> </w:t>
      </w:r>
      <w:r w:rsidRPr="008C36AA">
        <w:rPr>
          <w:rFonts w:ascii="Arial" w:eastAsia="新細明體" w:hAnsi="Arial" w:cs="Arial"/>
          <w:lang w:eastAsia="zh-TW"/>
        </w:rPr>
        <w:t>CA_n5-n29-n66</w:t>
      </w:r>
      <w:r>
        <w:rPr>
          <w:rFonts w:ascii="Arial" w:eastAsia="新細明體" w:hAnsi="Arial" w:cs="Arial"/>
          <w:lang w:eastAsia="zh-TW"/>
        </w:rPr>
        <w:t>, which includes CA_n5-n29 as example. There are two possible cases for the combo:</w:t>
      </w:r>
    </w:p>
    <w:p w14:paraId="6B46ECED" w14:textId="2C76D115" w:rsidR="008C36AA" w:rsidRDefault="008C36AA" w:rsidP="008C36AA">
      <w:pPr>
        <w:pStyle w:val="af5"/>
        <w:numPr>
          <w:ilvl w:val="0"/>
          <w:numId w:val="72"/>
        </w:numPr>
        <w:ind w:leftChars="0"/>
        <w:rPr>
          <w:rFonts w:ascii="Arial" w:eastAsia="新細明體" w:hAnsi="Arial" w:cs="Arial"/>
          <w:lang w:eastAsia="zh-TW"/>
        </w:rPr>
      </w:pPr>
      <w:bookmarkStart w:id="25" w:name="OLE_LINK15"/>
      <w:r>
        <w:rPr>
          <w:rFonts w:ascii="Arial" w:eastAsia="新細明體" w:hAnsi="Arial" w:cs="Arial" w:hint="eastAsia"/>
          <w:lang w:eastAsia="zh-TW"/>
        </w:rPr>
        <w:t>C</w:t>
      </w:r>
      <w:r>
        <w:rPr>
          <w:rFonts w:ascii="Arial" w:eastAsia="新細明體" w:hAnsi="Arial" w:cs="Arial"/>
          <w:lang w:eastAsia="zh-TW"/>
        </w:rPr>
        <w:t xml:space="preserve">ase A: </w:t>
      </w:r>
      <w:bookmarkStart w:id="26" w:name="OLE_LINK13"/>
      <w:bookmarkStart w:id="27" w:name="OLE_LINK54"/>
      <w:r w:rsidRPr="008C36AA">
        <w:rPr>
          <w:rFonts w:ascii="Arial" w:eastAsia="新細明體" w:hAnsi="Arial" w:cs="Arial"/>
          <w:lang w:eastAsia="zh-TW"/>
        </w:rPr>
        <w:t>LB CA switching capability is supported and reported</w:t>
      </w:r>
      <w:bookmarkEnd w:id="26"/>
      <w:r w:rsidRPr="008C36AA">
        <w:rPr>
          <w:rFonts w:ascii="Arial" w:eastAsia="新細明體" w:hAnsi="Arial" w:cs="Arial"/>
          <w:lang w:eastAsia="zh-TW"/>
        </w:rPr>
        <w:t xml:space="preserve"> for CA_n5-n29 in CA_n5-n29-n66, then </w:t>
      </w:r>
      <w:bookmarkStart w:id="28" w:name="OLE_LINK14"/>
      <w:r w:rsidRPr="008C36AA">
        <w:rPr>
          <w:rFonts w:ascii="Arial" w:eastAsia="新細明體" w:hAnsi="Arial" w:cs="Arial"/>
          <w:lang w:eastAsia="zh-TW"/>
        </w:rPr>
        <w:t>CA_n29-n66 cannot be</w:t>
      </w:r>
      <w:bookmarkEnd w:id="28"/>
      <w:r w:rsidRPr="008C36AA">
        <w:rPr>
          <w:rFonts w:ascii="Arial" w:eastAsia="新細明體" w:hAnsi="Arial" w:cs="Arial"/>
          <w:lang w:eastAsia="zh-TW"/>
        </w:rPr>
        <w:t xml:space="preserve"> the fallback</w:t>
      </w:r>
      <w:r>
        <w:rPr>
          <w:rFonts w:ascii="Arial" w:eastAsia="新細明體" w:hAnsi="Arial" w:cs="Arial"/>
          <w:lang w:eastAsia="zh-TW"/>
        </w:rPr>
        <w:t xml:space="preserve"> due to band n5 shall be the Pcell</w:t>
      </w:r>
      <w:bookmarkEnd w:id="27"/>
      <w:r>
        <w:rPr>
          <w:rFonts w:ascii="Arial" w:eastAsia="新細明體" w:hAnsi="Arial" w:cs="Arial"/>
          <w:lang w:eastAsia="zh-TW"/>
        </w:rPr>
        <w:t>.</w:t>
      </w:r>
    </w:p>
    <w:p w14:paraId="2B9821C5" w14:textId="4F6DFBFC" w:rsidR="008C36AA" w:rsidRPr="008C36AA" w:rsidRDefault="008C36AA" w:rsidP="008C36AA">
      <w:pPr>
        <w:pStyle w:val="af5"/>
        <w:numPr>
          <w:ilvl w:val="0"/>
          <w:numId w:val="72"/>
        </w:numPr>
        <w:ind w:leftChars="0"/>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B: </w:t>
      </w:r>
      <w:r w:rsidRPr="008C36AA">
        <w:rPr>
          <w:rFonts w:ascii="Arial" w:eastAsia="新細明體" w:hAnsi="Arial" w:cs="Arial"/>
          <w:lang w:eastAsia="zh-TW"/>
        </w:rPr>
        <w:t>LB CA switching is not supported for CA_n5-n29 in CA_n5-n29-n66, CA_n29-n66 can be the fallback</w:t>
      </w:r>
      <w:r>
        <w:rPr>
          <w:rFonts w:ascii="Arial" w:eastAsia="新細明體" w:hAnsi="Arial" w:cs="Arial"/>
          <w:lang w:eastAsia="zh-TW"/>
        </w:rPr>
        <w:t xml:space="preserve"> when band n66 is configured as Pcell.</w:t>
      </w:r>
    </w:p>
    <w:bookmarkEnd w:id="25"/>
    <w:p w14:paraId="3041A5A7" w14:textId="653FEAE4" w:rsidR="0099120D" w:rsidRDefault="0099120D" w:rsidP="003B2AF1">
      <w:pPr>
        <w:rPr>
          <w:rFonts w:ascii="Arial" w:eastAsia="新細明體" w:hAnsi="Arial" w:cs="Arial"/>
          <w:lang w:eastAsia="zh-TW"/>
        </w:rPr>
      </w:pPr>
      <w:r>
        <w:rPr>
          <w:noProof/>
        </w:rPr>
        <mc:AlternateContent>
          <mc:Choice Requires="wps">
            <w:drawing>
              <wp:anchor distT="0" distB="0" distL="114300" distR="114300" simplePos="0" relativeHeight="251665408" behindDoc="0" locked="0" layoutInCell="1" allowOverlap="1" wp14:anchorId="391CEA8E" wp14:editId="313450ED">
                <wp:simplePos x="0" y="0"/>
                <wp:positionH relativeFrom="margin">
                  <wp:align>center</wp:align>
                </wp:positionH>
                <wp:positionV relativeFrom="paragraph">
                  <wp:posOffset>469432</wp:posOffset>
                </wp:positionV>
                <wp:extent cx="6395720" cy="404261"/>
                <wp:effectExtent l="0" t="0" r="24130" b="15240"/>
                <wp:wrapNone/>
                <wp:docPr id="5" name="矩形 5"/>
                <wp:cNvGraphicFramePr/>
                <a:graphic xmlns:a="http://schemas.openxmlformats.org/drawingml/2006/main">
                  <a:graphicData uri="http://schemas.microsoft.com/office/word/2010/wordprocessingShape">
                    <wps:wsp>
                      <wps:cNvSpPr/>
                      <wps:spPr>
                        <a:xfrm>
                          <a:off x="0" y="0"/>
                          <a:ext cx="6395720" cy="404261"/>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5C8856" id="矩形 5" o:spid="_x0000_s1026" style="position:absolute;margin-left:0;margin-top:36.95pt;width:503.6pt;height:31.8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" filled="f" strokecolor="black [3213]" strokeweight="1pt">
                <w10:wrap anchorx="margin"/>
              </v:rect>
            </w:pict>
          </mc:Fallback>
        </mc:AlternateContent>
      </w:r>
      <w:r w:rsidR="008C36AA">
        <w:rPr>
          <w:rFonts w:ascii="Arial" w:eastAsia="新細明體" w:hAnsi="Arial" w:cs="Arial" w:hint="eastAsia"/>
          <w:lang w:val="en-US" w:eastAsia="zh-TW"/>
        </w:rPr>
        <w:t>T</w:t>
      </w:r>
      <w:r w:rsidR="008C36AA">
        <w:rPr>
          <w:rFonts w:ascii="Arial" w:eastAsia="新細明體" w:hAnsi="Arial" w:cs="Arial"/>
          <w:lang w:val="en-US" w:eastAsia="zh-TW"/>
        </w:rPr>
        <w:t xml:space="preserve">hen it would result in a question that when </w:t>
      </w:r>
      <w:r w:rsidR="008C36AA">
        <w:rPr>
          <w:rFonts w:ascii="Arial" w:eastAsia="新細明體" w:hAnsi="Arial" w:cs="Arial"/>
          <w:lang w:eastAsia="zh-TW"/>
        </w:rPr>
        <w:t xml:space="preserve">LB CA switching capability is supported and reported, </w:t>
      </w:r>
      <w:r>
        <w:rPr>
          <w:rFonts w:ascii="Arial" w:eastAsia="新細明體" w:hAnsi="Arial" w:cs="Arial"/>
          <w:lang w:eastAsia="zh-TW"/>
        </w:rPr>
        <w:t xml:space="preserve">band n5 shall be the Pcell of the combination, </w:t>
      </w:r>
      <w:r>
        <w:rPr>
          <w:rFonts w:ascii="Arial" w:eastAsia="新細明體" w:hAnsi="Arial" w:cs="Arial" w:hint="eastAsia"/>
          <w:lang w:eastAsia="zh-TW"/>
        </w:rPr>
        <w:t>w</w:t>
      </w:r>
      <w:r>
        <w:rPr>
          <w:rFonts w:ascii="Arial" w:eastAsia="新細明體" w:hAnsi="Arial" w:cs="Arial"/>
          <w:lang w:eastAsia="zh-TW"/>
        </w:rPr>
        <w:t xml:space="preserve">hat are valid fallback configurations? Refer to TS38.306 clause 3.1 definition of the fallback: </w:t>
      </w:r>
    </w:p>
    <w:p w14:paraId="12ACC302" w14:textId="617CC990" w:rsidR="0099120D" w:rsidRDefault="0099120D" w:rsidP="003B2AF1">
      <w:pPr>
        <w:rPr>
          <w:rFonts w:ascii="Arial" w:eastAsia="新細明體" w:hAnsi="Arial" w:cs="Arial"/>
          <w:lang w:eastAsia="zh-TW"/>
        </w:rPr>
      </w:pPr>
      <w:r w:rsidRPr="0099120D">
        <w:rPr>
          <w:rFonts w:ascii="Arial" w:eastAsia="新細明體" w:hAnsi="Arial" w:cs="Arial"/>
          <w:lang w:eastAsia="zh-TW"/>
        </w:rPr>
        <w:t>Fallback band combination: A Uu band combination that would result from another Uu band combination (parent band combination) by releasing at least one SCell or uplink configuration of SCell, or SCG, or SUL</w:t>
      </w:r>
      <w:r>
        <w:rPr>
          <w:rFonts w:ascii="Arial" w:eastAsia="新細明體" w:hAnsi="Arial" w:cs="Arial"/>
          <w:lang w:eastAsia="zh-TW"/>
        </w:rPr>
        <w:t>.</w:t>
      </w:r>
    </w:p>
    <w:p w14:paraId="323A63BB" w14:textId="6C348B1E" w:rsidR="00D242A0" w:rsidRDefault="0099120D" w:rsidP="003B2AF1">
      <w:pPr>
        <w:rPr>
          <w:rFonts w:ascii="Arial" w:eastAsia="新細明體" w:hAnsi="Arial" w:cs="Arial"/>
          <w:lang w:eastAsia="zh-TW"/>
        </w:rPr>
      </w:pPr>
      <w:r>
        <w:rPr>
          <w:rFonts w:ascii="Arial" w:eastAsia="新細明體" w:hAnsi="Arial" w:cs="Arial"/>
          <w:lang w:eastAsia="zh-TW"/>
        </w:rPr>
        <w:t>Then the</w:t>
      </w:r>
      <w:r w:rsidR="00DA4700">
        <w:rPr>
          <w:rFonts w:ascii="Arial" w:eastAsia="新細明體" w:hAnsi="Arial" w:cs="Arial"/>
          <w:lang w:eastAsia="zh-TW"/>
        </w:rPr>
        <w:t xml:space="preserve"> valid</w:t>
      </w:r>
      <w:r>
        <w:rPr>
          <w:rFonts w:ascii="Arial" w:eastAsia="新細明體" w:hAnsi="Arial" w:cs="Arial"/>
          <w:lang w:eastAsia="zh-TW"/>
        </w:rPr>
        <w:t xml:space="preserve"> fallback configuration for case A can be CA_n5-n66 or CA_n5-n29. The CA_n66-n29 would not be valid configuration</w:t>
      </w:r>
      <w:r w:rsidR="002C7F80">
        <w:rPr>
          <w:rFonts w:ascii="Arial" w:eastAsia="新細明體" w:hAnsi="Arial" w:cs="Arial"/>
          <w:lang w:eastAsia="zh-TW"/>
        </w:rPr>
        <w:t>.</w:t>
      </w:r>
      <w:r w:rsidR="008C36AA">
        <w:rPr>
          <w:rFonts w:ascii="Arial" w:eastAsia="新細明體" w:hAnsi="Arial" w:cs="Arial"/>
          <w:lang w:eastAsia="zh-TW"/>
        </w:rPr>
        <w:t xml:space="preserve"> RAN4 need to figure out how to specify the corresponding fallback configuration in the TS38.101-1 and also to make sure the UE capability can indicate the case clearly.</w:t>
      </w:r>
    </w:p>
    <w:p w14:paraId="1E98A92D" w14:textId="5D97A85F" w:rsidR="00B50064" w:rsidRDefault="00B50064" w:rsidP="003B2AF1">
      <w:pPr>
        <w:rPr>
          <w:rFonts w:ascii="Arial" w:eastAsia="新細明體" w:hAnsi="Arial" w:cs="Arial"/>
          <w:lang w:eastAsia="zh-TW"/>
        </w:rPr>
      </w:pPr>
      <w:bookmarkStart w:id="29" w:name="OLE_LINK57"/>
      <w:r>
        <w:rPr>
          <w:rFonts w:ascii="Arial" w:eastAsia="新細明體" w:hAnsi="Arial" w:cs="Arial"/>
          <w:b/>
          <w:bCs/>
          <w:lang w:eastAsia="zh-TW"/>
        </w:rPr>
        <w:t xml:space="preserve">Observation 2: If </w:t>
      </w:r>
      <w:r w:rsidRPr="00B50064">
        <w:rPr>
          <w:rFonts w:ascii="Arial" w:eastAsia="新細明體" w:hAnsi="Arial" w:cs="Arial"/>
          <w:b/>
          <w:bCs/>
          <w:lang w:eastAsia="zh-TW"/>
        </w:rPr>
        <w:t>LB CA switching capability is supported and reported for</w:t>
      </w:r>
      <w:r w:rsidR="0099120D">
        <w:rPr>
          <w:rFonts w:ascii="Arial" w:eastAsia="新細明體" w:hAnsi="Arial" w:cs="Arial"/>
          <w:b/>
          <w:bCs/>
          <w:lang w:eastAsia="zh-TW"/>
        </w:rPr>
        <w:t xml:space="preserve"> band pair</w:t>
      </w:r>
      <w:r w:rsidRPr="00B50064">
        <w:rPr>
          <w:rFonts w:ascii="Arial" w:eastAsia="新細明體" w:hAnsi="Arial" w:cs="Arial"/>
          <w:b/>
          <w:bCs/>
          <w:lang w:eastAsia="zh-TW"/>
        </w:rPr>
        <w:t xml:space="preserve"> </w:t>
      </w:r>
      <w:r w:rsidR="0099120D">
        <w:rPr>
          <w:rFonts w:ascii="Arial" w:eastAsia="新細明體" w:hAnsi="Arial" w:cs="Arial"/>
          <w:b/>
          <w:bCs/>
          <w:lang w:eastAsia="zh-TW"/>
        </w:rPr>
        <w:t>“</w:t>
      </w:r>
      <w:r w:rsidRPr="00B50064">
        <w:rPr>
          <w:rFonts w:ascii="Arial" w:eastAsia="新細明體" w:hAnsi="Arial" w:cs="Arial"/>
          <w:b/>
          <w:bCs/>
          <w:lang w:eastAsia="zh-TW"/>
        </w:rPr>
        <w:t>CA_n5-n29</w:t>
      </w:r>
      <w:r w:rsidR="0099120D">
        <w:rPr>
          <w:rFonts w:ascii="Arial" w:eastAsia="新細明體" w:hAnsi="Arial" w:cs="Arial"/>
          <w:b/>
          <w:bCs/>
          <w:lang w:eastAsia="zh-TW"/>
        </w:rPr>
        <w:t>”</w:t>
      </w:r>
      <w:r w:rsidRPr="00B50064">
        <w:rPr>
          <w:rFonts w:ascii="Arial" w:eastAsia="新細明體" w:hAnsi="Arial" w:cs="Arial"/>
          <w:b/>
          <w:bCs/>
          <w:lang w:eastAsia="zh-TW"/>
        </w:rPr>
        <w:t xml:space="preserve"> in CA_n5-n29-n66, CA_n29-n66 </w:t>
      </w:r>
      <w:r w:rsidR="0099120D">
        <w:rPr>
          <w:rFonts w:ascii="Arial" w:eastAsia="新細明體" w:hAnsi="Arial" w:cs="Arial"/>
          <w:b/>
          <w:bCs/>
          <w:lang w:eastAsia="zh-TW"/>
        </w:rPr>
        <w:t xml:space="preserve">would </w:t>
      </w:r>
      <w:r w:rsidRPr="00B50064">
        <w:rPr>
          <w:rFonts w:ascii="Arial" w:eastAsia="新細明體" w:hAnsi="Arial" w:cs="Arial"/>
          <w:b/>
          <w:bCs/>
          <w:lang w:eastAsia="zh-TW"/>
        </w:rPr>
        <w:t xml:space="preserve">not be </w:t>
      </w:r>
      <w:r w:rsidR="0099120D">
        <w:rPr>
          <w:rFonts w:ascii="Arial" w:eastAsia="新細明體" w:hAnsi="Arial" w:cs="Arial"/>
          <w:b/>
          <w:bCs/>
          <w:lang w:eastAsia="zh-TW"/>
        </w:rPr>
        <w:t>valid</w:t>
      </w:r>
      <w:r w:rsidRPr="00B50064">
        <w:rPr>
          <w:rFonts w:ascii="Arial" w:eastAsia="新細明體" w:hAnsi="Arial" w:cs="Arial"/>
          <w:b/>
          <w:bCs/>
          <w:lang w:eastAsia="zh-TW"/>
        </w:rPr>
        <w:t xml:space="preserve"> fallback</w:t>
      </w:r>
      <w:r w:rsidR="0099120D">
        <w:rPr>
          <w:rFonts w:ascii="Arial" w:eastAsia="新細明體" w:hAnsi="Arial" w:cs="Arial"/>
          <w:b/>
          <w:bCs/>
          <w:lang w:eastAsia="zh-TW"/>
        </w:rPr>
        <w:t xml:space="preserve"> configuration</w:t>
      </w:r>
      <w:r w:rsidRPr="00B50064">
        <w:rPr>
          <w:rFonts w:ascii="Arial" w:eastAsia="新細明體" w:hAnsi="Arial" w:cs="Arial"/>
          <w:b/>
          <w:bCs/>
          <w:lang w:eastAsia="zh-TW"/>
        </w:rPr>
        <w:t xml:space="preserve"> due to band n5 shall be the Pcell</w:t>
      </w:r>
    </w:p>
    <w:p w14:paraId="6EE4D5AA" w14:textId="6A59BE47" w:rsidR="008C36AA" w:rsidRDefault="008C36AA" w:rsidP="008C36AA">
      <w:pPr>
        <w:rPr>
          <w:rFonts w:ascii="Arial" w:eastAsia="新細明體" w:hAnsi="Arial" w:cs="Arial"/>
          <w:b/>
          <w:bCs/>
          <w:i/>
          <w:iCs/>
          <w:lang w:eastAsia="zh-TW"/>
        </w:rPr>
      </w:pPr>
      <w:r w:rsidRPr="008C36AA">
        <w:rPr>
          <w:rFonts w:ascii="Arial" w:eastAsia="新細明體" w:hAnsi="Arial" w:cs="Arial" w:hint="eastAsia"/>
          <w:b/>
          <w:bCs/>
          <w:i/>
          <w:iCs/>
          <w:lang w:eastAsia="zh-TW"/>
        </w:rPr>
        <w:t>P</w:t>
      </w:r>
      <w:r w:rsidRPr="008C36AA">
        <w:rPr>
          <w:rFonts w:ascii="Arial" w:eastAsia="新細明體" w:hAnsi="Arial" w:cs="Arial"/>
          <w:b/>
          <w:bCs/>
          <w:i/>
          <w:iCs/>
          <w:lang w:eastAsia="zh-TW"/>
        </w:rPr>
        <w:t xml:space="preserve">roposal 2: </w:t>
      </w:r>
      <w:r w:rsidR="0099120D">
        <w:rPr>
          <w:rFonts w:ascii="Arial" w:eastAsia="新細明體" w:hAnsi="Arial" w:cs="Arial"/>
          <w:b/>
          <w:bCs/>
          <w:i/>
          <w:iCs/>
          <w:lang w:eastAsia="zh-TW"/>
        </w:rPr>
        <w:t>For t</w:t>
      </w:r>
      <w:r w:rsidRPr="008C36AA">
        <w:rPr>
          <w:rFonts w:ascii="Arial" w:eastAsia="新細明體" w:hAnsi="Arial" w:cs="Arial"/>
          <w:b/>
          <w:bCs/>
          <w:i/>
          <w:iCs/>
          <w:lang w:eastAsia="zh-TW"/>
        </w:rPr>
        <w:t xml:space="preserve">he </w:t>
      </w:r>
      <w:r w:rsidR="00D7279D">
        <w:rPr>
          <w:rFonts w:ascii="Arial" w:eastAsia="新細明體" w:hAnsi="Arial" w:cs="Arial"/>
          <w:b/>
          <w:bCs/>
          <w:i/>
          <w:iCs/>
          <w:lang w:eastAsia="zh-TW"/>
        </w:rPr>
        <w:t xml:space="preserve">example </w:t>
      </w:r>
      <w:r w:rsidRPr="008C36AA">
        <w:rPr>
          <w:rFonts w:ascii="Arial" w:eastAsia="新細明體" w:hAnsi="Arial" w:cs="Arial"/>
          <w:b/>
          <w:bCs/>
          <w:i/>
          <w:iCs/>
          <w:lang w:eastAsia="zh-TW"/>
        </w:rPr>
        <w:t>case A: LB CA switching capability is supported and reported for CA_n5-n29 in CA_n5-n29-n66. CA_n29-n66 can</w:t>
      </w:r>
      <w:r w:rsidR="002C7F80">
        <w:rPr>
          <w:rFonts w:ascii="Arial" w:eastAsia="新細明體" w:hAnsi="Arial" w:cs="Arial"/>
          <w:b/>
          <w:bCs/>
          <w:i/>
          <w:iCs/>
          <w:lang w:eastAsia="zh-TW"/>
        </w:rPr>
        <w:t>not</w:t>
      </w:r>
      <w:r w:rsidRPr="008C36AA">
        <w:rPr>
          <w:rFonts w:ascii="Arial" w:eastAsia="新細明體" w:hAnsi="Arial" w:cs="Arial"/>
          <w:b/>
          <w:bCs/>
          <w:i/>
          <w:iCs/>
          <w:lang w:eastAsia="zh-TW"/>
        </w:rPr>
        <w:t xml:space="preserve"> be valid fallback </w:t>
      </w:r>
      <w:r w:rsidR="002C7F80">
        <w:rPr>
          <w:rFonts w:ascii="Arial" w:eastAsia="新細明體" w:hAnsi="Arial" w:cs="Arial"/>
          <w:b/>
          <w:bCs/>
          <w:i/>
          <w:iCs/>
          <w:lang w:eastAsia="zh-TW"/>
        </w:rPr>
        <w:t>due to</w:t>
      </w:r>
      <w:r w:rsidRPr="008C36AA">
        <w:rPr>
          <w:rFonts w:ascii="Arial" w:eastAsia="新細明體" w:hAnsi="Arial" w:cs="Arial"/>
          <w:b/>
          <w:bCs/>
          <w:i/>
          <w:iCs/>
          <w:lang w:eastAsia="zh-TW"/>
        </w:rPr>
        <w:t xml:space="preserve"> band n5 shall be the Pcell.</w:t>
      </w:r>
      <w:r w:rsidR="0099120D">
        <w:rPr>
          <w:rFonts w:ascii="Arial" w:eastAsia="新細明體" w:hAnsi="Arial" w:cs="Arial"/>
          <w:b/>
          <w:bCs/>
          <w:i/>
          <w:iCs/>
          <w:lang w:eastAsia="zh-TW"/>
        </w:rPr>
        <w:t xml:space="preserve"> RAN4 need to figure how to specify corresponding requirements</w:t>
      </w:r>
    </w:p>
    <w:p w14:paraId="363F0B39" w14:textId="3D44A7D9" w:rsidR="004F3103" w:rsidRPr="008C36AA" w:rsidRDefault="004F3103" w:rsidP="008C36A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3: UE feature list shall take outcome of proposal 2 into consideration</w:t>
      </w:r>
    </w:p>
    <w:p w14:paraId="141468E5" w14:textId="77777777" w:rsidR="00B52FEF" w:rsidRPr="00B52FEF" w:rsidRDefault="00B52FEF" w:rsidP="0099120D">
      <w:pPr>
        <w:rPr>
          <w:rFonts w:ascii="Arial" w:eastAsia="新細明體" w:hAnsi="Arial" w:cs="Arial"/>
          <w:b/>
          <w:bCs/>
          <w:i/>
          <w:iCs/>
          <w:lang w:eastAsia="zh-TW"/>
        </w:rPr>
      </w:pPr>
      <w:bookmarkStart w:id="30" w:name="OLE_LINK37"/>
      <w:bookmarkEnd w:id="29"/>
    </w:p>
    <w:bookmarkEnd w:id="30"/>
    <w:p w14:paraId="68FA16DC" w14:textId="5D0A8802" w:rsidR="00B1384A" w:rsidRDefault="00B1384A" w:rsidP="00B1384A">
      <w:pPr>
        <w:pStyle w:val="1"/>
        <w:ind w:left="533" w:hanging="533"/>
        <w:jc w:val="both"/>
        <w:rPr>
          <w:rFonts w:cs="Arial"/>
          <w:sz w:val="40"/>
          <w:szCs w:val="40"/>
        </w:rPr>
      </w:pPr>
      <w:r w:rsidRPr="000B25F7">
        <w:rPr>
          <w:rFonts w:cs="Arial"/>
          <w:sz w:val="40"/>
          <w:szCs w:val="40"/>
        </w:rPr>
        <w:lastRenderedPageBreak/>
        <w:t>3</w:t>
      </w:r>
      <w:r w:rsidRPr="000B25F7">
        <w:rPr>
          <w:rFonts w:eastAsia="Malgun Gothic" w:cs="Arial"/>
          <w:sz w:val="40"/>
          <w:szCs w:val="40"/>
          <w:lang w:eastAsia="ko-KR"/>
        </w:rPr>
        <w:t>.</w:t>
      </w:r>
      <w:r w:rsidRPr="000B25F7">
        <w:rPr>
          <w:rFonts w:cs="Arial"/>
          <w:sz w:val="40"/>
          <w:szCs w:val="40"/>
        </w:rPr>
        <w:t xml:space="preserve"> Conclusion</w:t>
      </w:r>
    </w:p>
    <w:p w14:paraId="1A88AD00" w14:textId="77777777" w:rsidR="0099120D" w:rsidRDefault="0099120D" w:rsidP="0099120D">
      <w:pPr>
        <w:rPr>
          <w:rFonts w:ascii="Arial" w:eastAsia="新細明體" w:hAnsi="Arial" w:cs="Arial"/>
          <w:b/>
          <w:bCs/>
          <w:lang w:eastAsia="zh-TW"/>
        </w:rPr>
      </w:pPr>
      <w:r>
        <w:rPr>
          <w:rFonts w:ascii="Arial" w:eastAsia="新細明體" w:hAnsi="Arial" w:cs="Arial"/>
          <w:b/>
          <w:bCs/>
          <w:lang w:eastAsia="zh-TW"/>
        </w:rPr>
        <w:t>Observation 1: The location of switching period from SDL carrier to FDD carrier shall always be at the “switch from” carrier, i.e., SDL carrier. RAN1 will further discuss location of switching period from FDD carrier to SDL carrier</w:t>
      </w:r>
    </w:p>
    <w:p w14:paraId="42162281" w14:textId="77777777" w:rsidR="0099120D" w:rsidRDefault="0099120D" w:rsidP="0099120D">
      <w:pPr>
        <w:rPr>
          <w:rFonts w:ascii="Arial" w:hAnsi="Arial" w:cs="Arial"/>
          <w:b/>
          <w:bCs/>
          <w:i/>
          <w:iCs/>
          <w:lang w:val="en-US"/>
        </w:rPr>
      </w:pPr>
      <w:r>
        <w:rPr>
          <w:rFonts w:ascii="Arial" w:eastAsia="新細明體" w:hAnsi="Arial" w:cs="Arial"/>
          <w:b/>
          <w:bCs/>
          <w:i/>
          <w:iCs/>
          <w:lang w:eastAsia="zh-TW"/>
        </w:rPr>
        <w:t>Proposal 1: The proposed switching time mask from SDL carrier to FDD carrier is based on the downlink timing (DL reception time at UE side) of Pcell and illustrated in below Figure 1. The network shall guarantee enough switching gap including 10us transient period, switching period Xus and timing advance (</w:t>
      </w:r>
      <w:r>
        <w:rPr>
          <w:rFonts w:ascii="Arial" w:hAnsi="Arial" w:cs="Arial"/>
          <w:b/>
          <w:bCs/>
          <w:i/>
          <w:iCs/>
          <w:lang w:val="en-US"/>
        </w:rPr>
        <w:t>T</w:t>
      </w:r>
      <w:r>
        <w:rPr>
          <w:rFonts w:ascii="Arial" w:hAnsi="Arial" w:cs="Arial"/>
          <w:b/>
          <w:bCs/>
          <w:i/>
          <w:iCs/>
          <w:vertAlign w:val="subscript"/>
          <w:lang w:val="en-US"/>
        </w:rPr>
        <w:t>A</w:t>
      </w:r>
      <w:r>
        <w:rPr>
          <w:rFonts w:ascii="Arial" w:eastAsia="新細明體" w:hAnsi="Arial" w:cs="Arial"/>
          <w:b/>
          <w:bCs/>
          <w:i/>
          <w:iCs/>
          <w:lang w:val="en-US" w:eastAsia="zh-TW"/>
        </w:rPr>
        <w:t>)</w:t>
      </w:r>
      <w:r>
        <w:rPr>
          <w:rFonts w:ascii="Arial" w:eastAsia="新細明體" w:hAnsi="Arial" w:cs="Arial"/>
          <w:b/>
          <w:bCs/>
          <w:i/>
          <w:iCs/>
          <w:color w:val="FF0000"/>
          <w:lang w:val="en-US" w:eastAsia="zh-TW"/>
        </w:rPr>
        <w:t xml:space="preserve"> </w:t>
      </w:r>
    </w:p>
    <w:p w14:paraId="66368B8C" w14:textId="21343F72" w:rsidR="0099120D" w:rsidRDefault="0099120D" w:rsidP="0099120D">
      <w:pPr>
        <w:jc w:val="center"/>
        <w:rPr>
          <w:rFonts w:ascii="Arial" w:eastAsia="新細明體" w:hAnsi="Arial" w:cs="Arial"/>
          <w:b/>
          <w:bCs/>
          <w:i/>
          <w:iCs/>
          <w:lang w:eastAsia="zh-TW"/>
        </w:rPr>
      </w:pPr>
      <w:r>
        <w:rPr>
          <w:rFonts w:ascii="Arial" w:eastAsia="新細明體" w:hAnsi="Arial" w:cs="Arial"/>
          <w:b/>
          <w:i/>
          <w:noProof/>
          <w:lang w:eastAsia="zh-TW"/>
        </w:rPr>
        <w:drawing>
          <wp:inline distT="0" distB="0" distL="0" distR="0" wp14:anchorId="0C1CA5ED" wp14:editId="63BE93AD">
            <wp:extent cx="4629785" cy="15113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9785" cy="1511300"/>
                    </a:xfrm>
                    <a:prstGeom prst="rect">
                      <a:avLst/>
                    </a:prstGeom>
                    <a:noFill/>
                    <a:ln>
                      <a:noFill/>
                    </a:ln>
                  </pic:spPr>
                </pic:pic>
              </a:graphicData>
            </a:graphic>
          </wp:inline>
        </w:drawing>
      </w:r>
    </w:p>
    <w:p w14:paraId="55946E26" w14:textId="77777777" w:rsidR="0099120D" w:rsidRDefault="0099120D" w:rsidP="0099120D">
      <w:pPr>
        <w:jc w:val="center"/>
        <w:rPr>
          <w:rFonts w:ascii="Arial" w:eastAsia="新細明體" w:hAnsi="Arial" w:cs="Arial"/>
          <w:b/>
          <w:bCs/>
          <w:lang w:eastAsia="zh-TW"/>
        </w:rPr>
      </w:pPr>
      <w:r>
        <w:rPr>
          <w:rFonts w:ascii="Arial" w:eastAsia="新細明體" w:hAnsi="Arial" w:cs="Arial"/>
          <w:b/>
          <w:bCs/>
          <w:lang w:eastAsia="zh-TW"/>
        </w:rPr>
        <w:t>Figure 1. Time mask for the LB CA switching</w:t>
      </w:r>
    </w:p>
    <w:p w14:paraId="672CF35B" w14:textId="77777777" w:rsidR="0099120D" w:rsidRDefault="0099120D" w:rsidP="0099120D">
      <w:pPr>
        <w:rPr>
          <w:rFonts w:ascii="Arial" w:eastAsia="新細明體" w:hAnsi="Arial" w:cs="Arial"/>
          <w:lang w:eastAsia="zh-TW"/>
        </w:rPr>
      </w:pPr>
      <w:r>
        <w:rPr>
          <w:rFonts w:ascii="Arial" w:eastAsia="新細明體" w:hAnsi="Arial" w:cs="Arial"/>
          <w:b/>
          <w:bCs/>
          <w:lang w:eastAsia="zh-TW"/>
        </w:rPr>
        <w:t>Observation 2: If LB CA switching capability is supported and reported for band pair “CA_n5-n29” in CA_n5-n29-n66, CA_n29-n66 would not be valid fallback configuration due to band n5 shall be the Pcell</w:t>
      </w:r>
    </w:p>
    <w:p w14:paraId="4280C5FF" w14:textId="77777777" w:rsidR="0099120D" w:rsidRDefault="0099120D" w:rsidP="0099120D">
      <w:pPr>
        <w:rPr>
          <w:rFonts w:ascii="Arial" w:eastAsia="新細明體" w:hAnsi="Arial" w:cs="Arial"/>
          <w:b/>
          <w:bCs/>
          <w:i/>
          <w:iCs/>
          <w:lang w:eastAsia="zh-TW"/>
        </w:rPr>
      </w:pPr>
      <w:r>
        <w:rPr>
          <w:rFonts w:ascii="Arial" w:eastAsia="新細明體" w:hAnsi="Arial" w:cs="Arial"/>
          <w:b/>
          <w:bCs/>
          <w:i/>
          <w:iCs/>
          <w:lang w:eastAsia="zh-TW"/>
        </w:rPr>
        <w:t>Proposal 2: For the example case A: LB CA switching capability is supported and reported for CA_n5-n29 in CA_n5-n29-n66. CA_n29-n66 cannot be valid fallback due to band n5 shall be the Pcell. RAN4 need to figure how to specify corresponding requirements</w:t>
      </w:r>
    </w:p>
    <w:p w14:paraId="0E917682" w14:textId="77777777" w:rsidR="004F3103" w:rsidRPr="008C36AA" w:rsidRDefault="004F3103" w:rsidP="004F3103">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3: UE feature list shall take outcome of proposal 2 into consideration</w:t>
      </w:r>
    </w:p>
    <w:p w14:paraId="37678FCC" w14:textId="579712E0" w:rsidR="001542C0" w:rsidRPr="004F3103"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3F63C894" w14:textId="14A09B8A" w:rsidR="00676586" w:rsidRDefault="001F44F1" w:rsidP="00B63525">
      <w:pPr>
        <w:pStyle w:val="af5"/>
        <w:numPr>
          <w:ilvl w:val="0"/>
          <w:numId w:val="39"/>
        </w:numPr>
        <w:ind w:leftChars="0"/>
        <w:rPr>
          <w:rFonts w:ascii="Arial" w:eastAsia="新細明體" w:hAnsi="Arial" w:cs="Arial"/>
          <w:bCs/>
          <w:iCs/>
          <w:sz w:val="22"/>
          <w:szCs w:val="22"/>
          <w:lang w:eastAsia="zh-TW"/>
        </w:rPr>
      </w:pPr>
      <w:r w:rsidRPr="001F44F1">
        <w:rPr>
          <w:rFonts w:ascii="Arial" w:eastAsia="新細明體" w:hAnsi="Arial" w:cs="Arial"/>
          <w:bCs/>
          <w:iCs/>
          <w:sz w:val="22"/>
          <w:szCs w:val="22"/>
          <w:lang w:eastAsia="zh-TW"/>
        </w:rPr>
        <w:t>RP-243315</w:t>
      </w:r>
      <w:r>
        <w:rPr>
          <w:rFonts w:ascii="Arial" w:eastAsia="新細明體" w:hAnsi="Arial" w:cs="Arial"/>
          <w:bCs/>
          <w:iCs/>
          <w:sz w:val="22"/>
          <w:szCs w:val="22"/>
          <w:lang w:eastAsia="zh-TW"/>
        </w:rPr>
        <w:t xml:space="preserve"> </w:t>
      </w:r>
      <w:r w:rsidRPr="001F44F1">
        <w:rPr>
          <w:rFonts w:ascii="Arial" w:eastAsia="新細明體" w:hAnsi="Arial" w:cs="Arial"/>
          <w:bCs/>
          <w:iCs/>
          <w:sz w:val="22"/>
          <w:szCs w:val="22"/>
          <w:lang w:eastAsia="zh-TW"/>
        </w:rPr>
        <w:t>New WID on low band carrier aggregation via switching</w:t>
      </w:r>
      <w:r>
        <w:rPr>
          <w:rFonts w:ascii="Arial" w:eastAsia="新細明體" w:hAnsi="Arial" w:cs="Arial"/>
          <w:bCs/>
          <w:iCs/>
          <w:sz w:val="22"/>
          <w:szCs w:val="22"/>
          <w:lang w:eastAsia="zh-TW"/>
        </w:rPr>
        <w:t xml:space="preserve">, </w:t>
      </w:r>
      <w:bookmarkStart w:id="31" w:name="OLE_LINK85"/>
      <w:r>
        <w:rPr>
          <w:rFonts w:ascii="Arial" w:eastAsia="新細明體" w:hAnsi="Arial" w:cs="Arial"/>
          <w:bCs/>
          <w:iCs/>
          <w:sz w:val="22"/>
          <w:szCs w:val="22"/>
          <w:lang w:eastAsia="zh-TW"/>
        </w:rPr>
        <w:t>RANP#106</w:t>
      </w:r>
      <w:bookmarkEnd w:id="31"/>
    </w:p>
    <w:p w14:paraId="55249ED1" w14:textId="30C01A20" w:rsidR="00D1494C" w:rsidRDefault="001D0CA9" w:rsidP="00B63525">
      <w:pPr>
        <w:pStyle w:val="af5"/>
        <w:numPr>
          <w:ilvl w:val="0"/>
          <w:numId w:val="39"/>
        </w:numPr>
        <w:ind w:leftChars="0"/>
        <w:rPr>
          <w:rFonts w:ascii="Arial" w:eastAsia="新細明體" w:hAnsi="Arial" w:cs="Arial"/>
          <w:bCs/>
          <w:iCs/>
          <w:sz w:val="22"/>
          <w:szCs w:val="22"/>
          <w:lang w:eastAsia="zh-TW"/>
        </w:rPr>
      </w:pPr>
      <w:r w:rsidRPr="001D0CA9">
        <w:rPr>
          <w:rFonts w:ascii="Arial" w:eastAsia="新細明體" w:hAnsi="Arial" w:cs="Arial"/>
          <w:bCs/>
          <w:iCs/>
          <w:sz w:val="22"/>
          <w:szCs w:val="22"/>
          <w:lang w:eastAsia="zh-TW"/>
        </w:rPr>
        <w:t>RP-241537</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Rx switched nX-n29 low-low</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carrier aggregation</w:t>
      </w:r>
      <w:r>
        <w:rPr>
          <w:rFonts w:ascii="Arial" w:eastAsia="新細明體" w:hAnsi="Arial" w:cs="Arial"/>
          <w:bCs/>
          <w:iCs/>
          <w:sz w:val="22"/>
          <w:szCs w:val="22"/>
          <w:lang w:eastAsia="zh-TW"/>
        </w:rPr>
        <w:t>, RANP#104</w:t>
      </w:r>
    </w:p>
    <w:p w14:paraId="02638201" w14:textId="2C0928FF" w:rsidR="00AD2A92" w:rsidRDefault="00E57EC7" w:rsidP="00B63525">
      <w:pPr>
        <w:pStyle w:val="af5"/>
        <w:numPr>
          <w:ilvl w:val="0"/>
          <w:numId w:val="39"/>
        </w:numPr>
        <w:ind w:leftChars="0"/>
        <w:rPr>
          <w:rFonts w:ascii="Arial" w:eastAsia="新細明體" w:hAnsi="Arial" w:cs="Arial"/>
          <w:bCs/>
          <w:iCs/>
          <w:sz w:val="22"/>
          <w:szCs w:val="22"/>
          <w:lang w:eastAsia="zh-TW"/>
        </w:rPr>
      </w:pPr>
      <w:r w:rsidRPr="00E57EC7">
        <w:rPr>
          <w:rFonts w:ascii="Arial" w:eastAsia="新細明體" w:hAnsi="Arial" w:cs="Arial"/>
          <w:bCs/>
          <w:iCs/>
          <w:sz w:val="22"/>
          <w:szCs w:val="22"/>
          <w:lang w:eastAsia="zh-TW"/>
        </w:rPr>
        <w:t>R4-2503016</w:t>
      </w:r>
      <w:r w:rsidR="00AD2A92">
        <w:rPr>
          <w:rFonts w:ascii="Arial" w:eastAsia="新細明體" w:hAnsi="Arial" w:cs="Arial"/>
          <w:bCs/>
          <w:iCs/>
          <w:sz w:val="22"/>
          <w:szCs w:val="22"/>
          <w:lang w:eastAsia="zh-TW"/>
        </w:rPr>
        <w:t xml:space="preserve"> </w:t>
      </w:r>
      <w:r w:rsidRPr="00E57EC7">
        <w:rPr>
          <w:rFonts w:ascii="Arial" w:eastAsia="新細明體" w:hAnsi="Arial" w:cs="Arial"/>
          <w:bCs/>
          <w:iCs/>
          <w:sz w:val="22"/>
          <w:szCs w:val="22"/>
          <w:lang w:eastAsia="zh-TW"/>
        </w:rPr>
        <w:t>WF on low-low band switching</w:t>
      </w:r>
      <w:bookmarkStart w:id="32" w:name="OLE_LINK7"/>
      <w:r w:rsidR="00717343">
        <w:rPr>
          <w:rFonts w:ascii="Arial" w:eastAsia="新細明體" w:hAnsi="Arial" w:cs="Arial"/>
          <w:bCs/>
          <w:iCs/>
          <w:sz w:val="22"/>
          <w:szCs w:val="22"/>
          <w:lang w:eastAsia="zh-TW"/>
        </w:rPr>
        <w:t>, RAN4#114</w:t>
      </w:r>
      <w:bookmarkEnd w:id="32"/>
    </w:p>
    <w:p w14:paraId="3B4D3D8B" w14:textId="66842E04" w:rsidR="00EF1707" w:rsidRDefault="00EF1707" w:rsidP="00B63525">
      <w:pPr>
        <w:pStyle w:val="af5"/>
        <w:numPr>
          <w:ilvl w:val="0"/>
          <w:numId w:val="39"/>
        </w:numPr>
        <w:ind w:leftChars="0"/>
        <w:rPr>
          <w:rFonts w:ascii="Arial" w:eastAsia="新細明體" w:hAnsi="Arial" w:cs="Arial"/>
          <w:bCs/>
          <w:iCs/>
          <w:sz w:val="22"/>
          <w:szCs w:val="22"/>
          <w:lang w:eastAsia="zh-TW"/>
        </w:rPr>
      </w:pPr>
      <w:r w:rsidRPr="00EF1707">
        <w:rPr>
          <w:rFonts w:ascii="Arial" w:eastAsia="新細明體" w:hAnsi="Arial" w:cs="Arial"/>
          <w:bCs/>
          <w:iCs/>
          <w:sz w:val="22"/>
          <w:szCs w:val="22"/>
          <w:lang w:eastAsia="zh-TW"/>
        </w:rPr>
        <w:t>R4-2501121</w:t>
      </w:r>
      <w:r>
        <w:rPr>
          <w:rFonts w:ascii="Arial" w:eastAsia="新細明體" w:hAnsi="Arial" w:cs="Arial"/>
          <w:bCs/>
          <w:iCs/>
          <w:sz w:val="22"/>
          <w:szCs w:val="22"/>
          <w:lang w:eastAsia="zh-TW"/>
        </w:rPr>
        <w:t xml:space="preserve"> </w:t>
      </w:r>
      <w:r w:rsidRPr="00EF1707">
        <w:rPr>
          <w:rFonts w:ascii="Arial" w:eastAsia="新細明體" w:hAnsi="Arial" w:cs="Arial"/>
          <w:bCs/>
          <w:iCs/>
          <w:sz w:val="22"/>
          <w:szCs w:val="22"/>
          <w:lang w:eastAsia="zh-TW"/>
        </w:rPr>
        <w:t>Discussion on low-band CA switching</w:t>
      </w:r>
      <w:r>
        <w:rPr>
          <w:rFonts w:ascii="Arial" w:eastAsia="新細明體" w:hAnsi="Arial" w:cs="Arial"/>
          <w:bCs/>
          <w:iCs/>
          <w:sz w:val="22"/>
          <w:szCs w:val="22"/>
          <w:lang w:eastAsia="zh-TW"/>
        </w:rPr>
        <w:t>, RAN4#114</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CD28" w14:textId="77777777" w:rsidR="00667D8C" w:rsidRDefault="00667D8C">
      <w:pPr>
        <w:spacing w:after="0"/>
      </w:pPr>
      <w:r>
        <w:separator/>
      </w:r>
    </w:p>
  </w:endnote>
  <w:endnote w:type="continuationSeparator" w:id="0">
    <w:p w14:paraId="0EBF9858" w14:textId="77777777" w:rsidR="00667D8C" w:rsidRDefault="00667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6AC0C" w14:textId="77777777" w:rsidR="00667D8C" w:rsidRDefault="00667D8C">
      <w:pPr>
        <w:spacing w:after="0"/>
      </w:pPr>
      <w:r>
        <w:separator/>
      </w:r>
    </w:p>
  </w:footnote>
  <w:footnote w:type="continuationSeparator" w:id="0">
    <w:p w14:paraId="075C9B53" w14:textId="77777777" w:rsidR="00667D8C" w:rsidRDefault="00667D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4852AC"/>
    <w:multiLevelType w:val="hybridMultilevel"/>
    <w:tmpl w:val="5746B318"/>
    <w:lvl w:ilvl="0" w:tplc="4D648D6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680E9A"/>
    <w:multiLevelType w:val="hybridMultilevel"/>
    <w:tmpl w:val="206E8C6E"/>
    <w:lvl w:ilvl="0" w:tplc="3FFC3686">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7D0B8F"/>
    <w:multiLevelType w:val="hybridMultilevel"/>
    <w:tmpl w:val="D35E6512"/>
    <w:lvl w:ilvl="0" w:tplc="02DC2E18">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7"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87525"/>
    <w:multiLevelType w:val="hybridMultilevel"/>
    <w:tmpl w:val="FB62A5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63489A"/>
    <w:multiLevelType w:val="hybridMultilevel"/>
    <w:tmpl w:val="E2BE39F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4"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BB0CC6"/>
    <w:multiLevelType w:val="hybridMultilevel"/>
    <w:tmpl w:val="E2A8ED6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1AD3F4D"/>
    <w:multiLevelType w:val="hybridMultilevel"/>
    <w:tmpl w:val="BF2EDEDE"/>
    <w:lvl w:ilvl="0" w:tplc="6C6610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1" w15:restartNumberingAfterBreak="0">
    <w:nsid w:val="75F20A24"/>
    <w:multiLevelType w:val="hybridMultilevel"/>
    <w:tmpl w:val="5EE62F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6"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41"/>
  </w:num>
  <w:num w:numId="2" w16cid:durableId="199703551">
    <w:abstractNumId w:val="35"/>
  </w:num>
  <w:num w:numId="3" w16cid:durableId="194780846">
    <w:abstractNumId w:val="27"/>
  </w:num>
  <w:num w:numId="4" w16cid:durableId="1391925377">
    <w:abstractNumId w:val="11"/>
  </w:num>
  <w:num w:numId="5" w16cid:durableId="1164785914">
    <w:abstractNumId w:val="17"/>
  </w:num>
  <w:num w:numId="6" w16cid:durableId="1024401422">
    <w:abstractNumId w:val="30"/>
  </w:num>
  <w:num w:numId="7" w16cid:durableId="1949921100">
    <w:abstractNumId w:val="32"/>
  </w:num>
  <w:num w:numId="8" w16cid:durableId="1788353748">
    <w:abstractNumId w:val="47"/>
  </w:num>
  <w:num w:numId="9" w16cid:durableId="1265646367">
    <w:abstractNumId w:val="25"/>
  </w:num>
  <w:num w:numId="10" w16cid:durableId="1387096809">
    <w:abstractNumId w:val="26"/>
  </w:num>
  <w:num w:numId="11" w16cid:durableId="841776963">
    <w:abstractNumId w:val="28"/>
  </w:num>
  <w:num w:numId="12" w16cid:durableId="1677338602">
    <w:abstractNumId w:val="36"/>
  </w:num>
  <w:num w:numId="13" w16cid:durableId="735326426">
    <w:abstractNumId w:val="15"/>
  </w:num>
  <w:num w:numId="14" w16cid:durableId="1358848186">
    <w:abstractNumId w:val="0"/>
  </w:num>
  <w:num w:numId="15" w16cid:durableId="461655774">
    <w:abstractNumId w:val="54"/>
  </w:num>
  <w:num w:numId="16" w16cid:durableId="127206705">
    <w:abstractNumId w:val="33"/>
  </w:num>
  <w:num w:numId="17" w16cid:durableId="2079129936">
    <w:abstractNumId w:val="21"/>
  </w:num>
  <w:num w:numId="18" w16cid:durableId="1630895239">
    <w:abstractNumId w:val="6"/>
  </w:num>
  <w:num w:numId="19" w16cid:durableId="763650181">
    <w:abstractNumId w:val="52"/>
  </w:num>
  <w:num w:numId="20" w16cid:durableId="1616252350">
    <w:abstractNumId w:val="21"/>
  </w:num>
  <w:num w:numId="21" w16cid:durableId="1568149349">
    <w:abstractNumId w:val="44"/>
  </w:num>
  <w:num w:numId="22" w16cid:durableId="1730036753">
    <w:abstractNumId w:val="1"/>
  </w:num>
  <w:num w:numId="23" w16cid:durableId="713309571">
    <w:abstractNumId w:val="39"/>
  </w:num>
  <w:num w:numId="24" w16cid:durableId="1517692912">
    <w:abstractNumId w:val="2"/>
  </w:num>
  <w:num w:numId="25" w16cid:durableId="1696073044">
    <w:abstractNumId w:val="43"/>
  </w:num>
  <w:num w:numId="26" w16cid:durableId="2055231216">
    <w:abstractNumId w:val="38"/>
  </w:num>
  <w:num w:numId="27" w16cid:durableId="779767095">
    <w:abstractNumId w:val="43"/>
  </w:num>
  <w:num w:numId="28" w16cid:durableId="697001355">
    <w:abstractNumId w:val="42"/>
  </w:num>
  <w:num w:numId="29" w16cid:durableId="341779094">
    <w:abstractNumId w:val="40"/>
  </w:num>
  <w:num w:numId="30" w16cid:durableId="1237325805">
    <w:abstractNumId w:val="29"/>
  </w:num>
  <w:num w:numId="31" w16cid:durableId="1626542886">
    <w:abstractNumId w:val="21"/>
  </w:num>
  <w:num w:numId="32" w16cid:durableId="2119374416">
    <w:abstractNumId w:val="45"/>
  </w:num>
  <w:num w:numId="33" w16cid:durableId="1478302357">
    <w:abstractNumId w:val="23"/>
  </w:num>
  <w:num w:numId="34" w16cid:durableId="1146824751">
    <w:abstractNumId w:val="46"/>
  </w:num>
  <w:num w:numId="35" w16cid:durableId="1946569690">
    <w:abstractNumId w:val="20"/>
  </w:num>
  <w:num w:numId="36" w16cid:durableId="1585651648">
    <w:abstractNumId w:val="50"/>
  </w:num>
  <w:num w:numId="37" w16cid:durableId="904991590">
    <w:abstractNumId w:val="49"/>
  </w:num>
  <w:num w:numId="38" w16cid:durableId="1302617204">
    <w:abstractNumId w:val="49"/>
  </w:num>
  <w:num w:numId="39" w16cid:durableId="9820039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37"/>
  </w:num>
  <w:num w:numId="41" w16cid:durableId="1562788694">
    <w:abstractNumId w:val="39"/>
  </w:num>
  <w:num w:numId="42" w16cid:durableId="1307205814">
    <w:abstractNumId w:val="37"/>
  </w:num>
  <w:num w:numId="43" w16cid:durableId="1607928864">
    <w:abstractNumId w:val="39"/>
  </w:num>
  <w:num w:numId="44" w16cid:durableId="1916862777">
    <w:abstractNumId w:val="37"/>
  </w:num>
  <w:num w:numId="45" w16cid:durableId="1874266962">
    <w:abstractNumId w:val="39"/>
  </w:num>
  <w:num w:numId="46" w16cid:durableId="484859090">
    <w:abstractNumId w:val="13"/>
  </w:num>
  <w:num w:numId="47" w16cid:durableId="887957003">
    <w:abstractNumId w:val="14"/>
  </w:num>
  <w:num w:numId="48" w16cid:durableId="1520660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55"/>
  </w:num>
  <w:num w:numId="50" w16cid:durableId="1940671626">
    <w:abstractNumId w:val="8"/>
  </w:num>
  <w:num w:numId="51" w16cid:durableId="1597521620">
    <w:abstractNumId w:val="56"/>
  </w:num>
  <w:num w:numId="52" w16cid:durableId="1693872566">
    <w:abstractNumId w:val="9"/>
  </w:num>
  <w:num w:numId="53" w16cid:durableId="261768858">
    <w:abstractNumId w:val="24"/>
  </w:num>
  <w:num w:numId="54" w16cid:durableId="1012754820">
    <w:abstractNumId w:val="24"/>
  </w:num>
  <w:num w:numId="55" w16cid:durableId="1961721717">
    <w:abstractNumId w:val="10"/>
  </w:num>
  <w:num w:numId="56" w16cid:durableId="152454377">
    <w:abstractNumId w:val="57"/>
  </w:num>
  <w:num w:numId="57" w16cid:durableId="1986620251">
    <w:abstractNumId w:val="34"/>
  </w:num>
  <w:num w:numId="58" w16cid:durableId="1958949335">
    <w:abstractNumId w:val="48"/>
  </w:num>
  <w:num w:numId="59" w16cid:durableId="282468674">
    <w:abstractNumId w:val="3"/>
  </w:num>
  <w:num w:numId="60" w16cid:durableId="1246036447">
    <w:abstractNumId w:val="12"/>
  </w:num>
  <w:num w:numId="61" w16cid:durableId="481511043">
    <w:abstractNumId w:val="12"/>
  </w:num>
  <w:num w:numId="62" w16cid:durableId="143661947">
    <w:abstractNumId w:val="51"/>
  </w:num>
  <w:num w:numId="63" w16cid:durableId="840395035">
    <w:abstractNumId w:val="31"/>
  </w:num>
  <w:num w:numId="64" w16cid:durableId="1639914544">
    <w:abstractNumId w:val="4"/>
  </w:num>
  <w:num w:numId="65" w16cid:durableId="1220019452">
    <w:abstractNumId w:val="12"/>
  </w:num>
  <w:num w:numId="66" w16cid:durableId="841041922">
    <w:abstractNumId w:val="53"/>
  </w:num>
  <w:num w:numId="67" w16cid:durableId="519508078">
    <w:abstractNumId w:val="18"/>
  </w:num>
  <w:num w:numId="68" w16cid:durableId="1118060802">
    <w:abstractNumId w:val="7"/>
  </w:num>
  <w:num w:numId="69" w16cid:durableId="1474758951">
    <w:abstractNumId w:val="12"/>
  </w:num>
  <w:num w:numId="70" w16cid:durableId="1135486575">
    <w:abstractNumId w:val="5"/>
  </w:num>
  <w:num w:numId="71" w16cid:durableId="224222897">
    <w:abstractNumId w:val="19"/>
  </w:num>
  <w:num w:numId="72" w16cid:durableId="607277365">
    <w:abstractNumId w:val="22"/>
  </w:num>
  <w:num w:numId="73" w16cid:durableId="194996731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65F2"/>
    <w:rsid w:val="00016CF4"/>
    <w:rsid w:val="00017F23"/>
    <w:rsid w:val="00020746"/>
    <w:rsid w:val="0002247C"/>
    <w:rsid w:val="00026436"/>
    <w:rsid w:val="00026573"/>
    <w:rsid w:val="00027053"/>
    <w:rsid w:val="00030A94"/>
    <w:rsid w:val="000362CA"/>
    <w:rsid w:val="00036805"/>
    <w:rsid w:val="000466CD"/>
    <w:rsid w:val="00046A6B"/>
    <w:rsid w:val="0005439C"/>
    <w:rsid w:val="000612FF"/>
    <w:rsid w:val="00061E12"/>
    <w:rsid w:val="00063568"/>
    <w:rsid w:val="00063708"/>
    <w:rsid w:val="00070846"/>
    <w:rsid w:val="000709F6"/>
    <w:rsid w:val="000742AA"/>
    <w:rsid w:val="000753E5"/>
    <w:rsid w:val="0007656C"/>
    <w:rsid w:val="00076CF4"/>
    <w:rsid w:val="0007718F"/>
    <w:rsid w:val="00077CBF"/>
    <w:rsid w:val="00084F5A"/>
    <w:rsid w:val="00086928"/>
    <w:rsid w:val="00093581"/>
    <w:rsid w:val="000A0FBA"/>
    <w:rsid w:val="000A7EB7"/>
    <w:rsid w:val="000B25F7"/>
    <w:rsid w:val="000B4C84"/>
    <w:rsid w:val="000D204A"/>
    <w:rsid w:val="000E058D"/>
    <w:rsid w:val="000E1254"/>
    <w:rsid w:val="000E141B"/>
    <w:rsid w:val="000E774D"/>
    <w:rsid w:val="000F06AD"/>
    <w:rsid w:val="000F1852"/>
    <w:rsid w:val="000F49A7"/>
    <w:rsid w:val="000F6242"/>
    <w:rsid w:val="000F7A2D"/>
    <w:rsid w:val="00100671"/>
    <w:rsid w:val="00100EBA"/>
    <w:rsid w:val="00105937"/>
    <w:rsid w:val="00105A8E"/>
    <w:rsid w:val="00106951"/>
    <w:rsid w:val="001101CB"/>
    <w:rsid w:val="001161DF"/>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290C"/>
    <w:rsid w:val="001B38B2"/>
    <w:rsid w:val="001B4ACD"/>
    <w:rsid w:val="001B4C96"/>
    <w:rsid w:val="001B685B"/>
    <w:rsid w:val="001C5DB0"/>
    <w:rsid w:val="001D0CA9"/>
    <w:rsid w:val="001D2700"/>
    <w:rsid w:val="001E2144"/>
    <w:rsid w:val="001E5CB0"/>
    <w:rsid w:val="001F44F1"/>
    <w:rsid w:val="001F50FC"/>
    <w:rsid w:val="001F720E"/>
    <w:rsid w:val="002076EB"/>
    <w:rsid w:val="002121A4"/>
    <w:rsid w:val="0021419E"/>
    <w:rsid w:val="002143B6"/>
    <w:rsid w:val="002159A8"/>
    <w:rsid w:val="00226696"/>
    <w:rsid w:val="002420B5"/>
    <w:rsid w:val="00242CDC"/>
    <w:rsid w:val="00244367"/>
    <w:rsid w:val="00245FBF"/>
    <w:rsid w:val="00251BBA"/>
    <w:rsid w:val="002562F0"/>
    <w:rsid w:val="00256707"/>
    <w:rsid w:val="002568F7"/>
    <w:rsid w:val="002606B1"/>
    <w:rsid w:val="00260A18"/>
    <w:rsid w:val="00261A77"/>
    <w:rsid w:val="00275790"/>
    <w:rsid w:val="00284AE1"/>
    <w:rsid w:val="00291C74"/>
    <w:rsid w:val="00297005"/>
    <w:rsid w:val="0029707C"/>
    <w:rsid w:val="002A0EE3"/>
    <w:rsid w:val="002A1908"/>
    <w:rsid w:val="002A2D2A"/>
    <w:rsid w:val="002A4551"/>
    <w:rsid w:val="002A680E"/>
    <w:rsid w:val="002B0AC9"/>
    <w:rsid w:val="002B2E0D"/>
    <w:rsid w:val="002C03C1"/>
    <w:rsid w:val="002C5483"/>
    <w:rsid w:val="002C7F80"/>
    <w:rsid w:val="002D0A15"/>
    <w:rsid w:val="002D1A5C"/>
    <w:rsid w:val="002D2E82"/>
    <w:rsid w:val="002D6048"/>
    <w:rsid w:val="002D7789"/>
    <w:rsid w:val="002E1994"/>
    <w:rsid w:val="002F0002"/>
    <w:rsid w:val="002F1940"/>
    <w:rsid w:val="002F61AF"/>
    <w:rsid w:val="00306A27"/>
    <w:rsid w:val="00306C13"/>
    <w:rsid w:val="00315EE5"/>
    <w:rsid w:val="00316C4A"/>
    <w:rsid w:val="003259EF"/>
    <w:rsid w:val="00327D4F"/>
    <w:rsid w:val="00344558"/>
    <w:rsid w:val="003477D3"/>
    <w:rsid w:val="0035017E"/>
    <w:rsid w:val="003519F8"/>
    <w:rsid w:val="00355F18"/>
    <w:rsid w:val="00362ED5"/>
    <w:rsid w:val="003827B2"/>
    <w:rsid w:val="00383545"/>
    <w:rsid w:val="003849A0"/>
    <w:rsid w:val="003860B7"/>
    <w:rsid w:val="00386136"/>
    <w:rsid w:val="00386312"/>
    <w:rsid w:val="0039491F"/>
    <w:rsid w:val="00396887"/>
    <w:rsid w:val="00397FF8"/>
    <w:rsid w:val="003A5DE5"/>
    <w:rsid w:val="003B012F"/>
    <w:rsid w:val="003B13EA"/>
    <w:rsid w:val="003B2AF1"/>
    <w:rsid w:val="003B2E9B"/>
    <w:rsid w:val="003B5629"/>
    <w:rsid w:val="003B57A8"/>
    <w:rsid w:val="003B5DA9"/>
    <w:rsid w:val="003C20BE"/>
    <w:rsid w:val="003C2D50"/>
    <w:rsid w:val="003C2FC7"/>
    <w:rsid w:val="003C37F7"/>
    <w:rsid w:val="003C6D26"/>
    <w:rsid w:val="003D21E1"/>
    <w:rsid w:val="003D2351"/>
    <w:rsid w:val="003D26D0"/>
    <w:rsid w:val="003D572A"/>
    <w:rsid w:val="003D6F75"/>
    <w:rsid w:val="003D76F1"/>
    <w:rsid w:val="003E5067"/>
    <w:rsid w:val="003E7208"/>
    <w:rsid w:val="003F6467"/>
    <w:rsid w:val="003F780A"/>
    <w:rsid w:val="004001AD"/>
    <w:rsid w:val="00405E97"/>
    <w:rsid w:val="00411082"/>
    <w:rsid w:val="00416C06"/>
    <w:rsid w:val="00421A58"/>
    <w:rsid w:val="00433500"/>
    <w:rsid w:val="00433F71"/>
    <w:rsid w:val="00434401"/>
    <w:rsid w:val="00440D43"/>
    <w:rsid w:val="0045115D"/>
    <w:rsid w:val="00456548"/>
    <w:rsid w:val="004578E0"/>
    <w:rsid w:val="00460C7B"/>
    <w:rsid w:val="0046295A"/>
    <w:rsid w:val="00464D55"/>
    <w:rsid w:val="00470FA5"/>
    <w:rsid w:val="0047263B"/>
    <w:rsid w:val="0047381D"/>
    <w:rsid w:val="0048141B"/>
    <w:rsid w:val="00484BA9"/>
    <w:rsid w:val="00485006"/>
    <w:rsid w:val="004866AA"/>
    <w:rsid w:val="00495162"/>
    <w:rsid w:val="004A058A"/>
    <w:rsid w:val="004A4279"/>
    <w:rsid w:val="004A4C67"/>
    <w:rsid w:val="004B3C1E"/>
    <w:rsid w:val="004B6ED5"/>
    <w:rsid w:val="004C1DC1"/>
    <w:rsid w:val="004C6BBD"/>
    <w:rsid w:val="004C719C"/>
    <w:rsid w:val="004D0D45"/>
    <w:rsid w:val="004D182B"/>
    <w:rsid w:val="004D6A4B"/>
    <w:rsid w:val="004E060B"/>
    <w:rsid w:val="004E15FA"/>
    <w:rsid w:val="004E3939"/>
    <w:rsid w:val="004E499F"/>
    <w:rsid w:val="004E57A4"/>
    <w:rsid w:val="004F2452"/>
    <w:rsid w:val="004F283B"/>
    <w:rsid w:val="004F3103"/>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1AD"/>
    <w:rsid w:val="00562DF2"/>
    <w:rsid w:val="005641A2"/>
    <w:rsid w:val="0057397D"/>
    <w:rsid w:val="0057631F"/>
    <w:rsid w:val="005935BB"/>
    <w:rsid w:val="00593ABC"/>
    <w:rsid w:val="0059522F"/>
    <w:rsid w:val="005A1DC0"/>
    <w:rsid w:val="005C118C"/>
    <w:rsid w:val="005C1350"/>
    <w:rsid w:val="005D04B7"/>
    <w:rsid w:val="005E10E8"/>
    <w:rsid w:val="005E2BEC"/>
    <w:rsid w:val="005E45E7"/>
    <w:rsid w:val="005E4624"/>
    <w:rsid w:val="005E52A0"/>
    <w:rsid w:val="005E5BEB"/>
    <w:rsid w:val="005F40FC"/>
    <w:rsid w:val="005F5904"/>
    <w:rsid w:val="005F692D"/>
    <w:rsid w:val="00600073"/>
    <w:rsid w:val="00600315"/>
    <w:rsid w:val="00610AA2"/>
    <w:rsid w:val="00612D76"/>
    <w:rsid w:val="006243AA"/>
    <w:rsid w:val="00625BFB"/>
    <w:rsid w:val="006276DD"/>
    <w:rsid w:val="00627822"/>
    <w:rsid w:val="00627DAA"/>
    <w:rsid w:val="006346EF"/>
    <w:rsid w:val="00644BBD"/>
    <w:rsid w:val="006545AB"/>
    <w:rsid w:val="006611D4"/>
    <w:rsid w:val="00667D8C"/>
    <w:rsid w:val="00676586"/>
    <w:rsid w:val="00676E8E"/>
    <w:rsid w:val="00677A86"/>
    <w:rsid w:val="0068142B"/>
    <w:rsid w:val="00681519"/>
    <w:rsid w:val="00684BE9"/>
    <w:rsid w:val="00685E6F"/>
    <w:rsid w:val="00686860"/>
    <w:rsid w:val="006A6295"/>
    <w:rsid w:val="006A6BF4"/>
    <w:rsid w:val="006B582D"/>
    <w:rsid w:val="006C603F"/>
    <w:rsid w:val="006C783F"/>
    <w:rsid w:val="006D1A76"/>
    <w:rsid w:val="006D1BA9"/>
    <w:rsid w:val="006D2981"/>
    <w:rsid w:val="006D6747"/>
    <w:rsid w:val="006E1B41"/>
    <w:rsid w:val="006E3E52"/>
    <w:rsid w:val="007147B5"/>
    <w:rsid w:val="0071708B"/>
    <w:rsid w:val="00717343"/>
    <w:rsid w:val="0072402A"/>
    <w:rsid w:val="00725133"/>
    <w:rsid w:val="0072697E"/>
    <w:rsid w:val="00730BC6"/>
    <w:rsid w:val="00732931"/>
    <w:rsid w:val="00732ED0"/>
    <w:rsid w:val="007426F7"/>
    <w:rsid w:val="00743CD3"/>
    <w:rsid w:val="007526B8"/>
    <w:rsid w:val="007611F8"/>
    <w:rsid w:val="00763BB0"/>
    <w:rsid w:val="0077343E"/>
    <w:rsid w:val="00777299"/>
    <w:rsid w:val="0077763D"/>
    <w:rsid w:val="007949BC"/>
    <w:rsid w:val="00795593"/>
    <w:rsid w:val="007A1474"/>
    <w:rsid w:val="007A1D5D"/>
    <w:rsid w:val="007A5A31"/>
    <w:rsid w:val="007A63B8"/>
    <w:rsid w:val="007B3BB9"/>
    <w:rsid w:val="007B5527"/>
    <w:rsid w:val="007B7629"/>
    <w:rsid w:val="007B7E1E"/>
    <w:rsid w:val="007C231E"/>
    <w:rsid w:val="007D1723"/>
    <w:rsid w:val="007D2D00"/>
    <w:rsid w:val="007D449D"/>
    <w:rsid w:val="007D44D7"/>
    <w:rsid w:val="007E2942"/>
    <w:rsid w:val="007E3D74"/>
    <w:rsid w:val="007E42C0"/>
    <w:rsid w:val="007E5CE0"/>
    <w:rsid w:val="007F3E41"/>
    <w:rsid w:val="007F4F92"/>
    <w:rsid w:val="00805035"/>
    <w:rsid w:val="00806234"/>
    <w:rsid w:val="00813EB7"/>
    <w:rsid w:val="00815C3B"/>
    <w:rsid w:val="008170FF"/>
    <w:rsid w:val="0082078D"/>
    <w:rsid w:val="00821962"/>
    <w:rsid w:val="008238CD"/>
    <w:rsid w:val="0082502C"/>
    <w:rsid w:val="00832D14"/>
    <w:rsid w:val="0083329D"/>
    <w:rsid w:val="008333D8"/>
    <w:rsid w:val="00834215"/>
    <w:rsid w:val="00837283"/>
    <w:rsid w:val="00840D3A"/>
    <w:rsid w:val="008418E3"/>
    <w:rsid w:val="00846AC6"/>
    <w:rsid w:val="00847E29"/>
    <w:rsid w:val="008565FF"/>
    <w:rsid w:val="008604E8"/>
    <w:rsid w:val="0086496F"/>
    <w:rsid w:val="0087029D"/>
    <w:rsid w:val="00882470"/>
    <w:rsid w:val="00883C7B"/>
    <w:rsid w:val="0088777B"/>
    <w:rsid w:val="00894A75"/>
    <w:rsid w:val="00897090"/>
    <w:rsid w:val="00897192"/>
    <w:rsid w:val="008A7F30"/>
    <w:rsid w:val="008B0EEF"/>
    <w:rsid w:val="008B35A5"/>
    <w:rsid w:val="008B77BC"/>
    <w:rsid w:val="008C36AA"/>
    <w:rsid w:val="008C4286"/>
    <w:rsid w:val="008D0C36"/>
    <w:rsid w:val="008D772F"/>
    <w:rsid w:val="00904F67"/>
    <w:rsid w:val="009100C0"/>
    <w:rsid w:val="00916C55"/>
    <w:rsid w:val="00923531"/>
    <w:rsid w:val="00927192"/>
    <w:rsid w:val="00932297"/>
    <w:rsid w:val="009336E1"/>
    <w:rsid w:val="00945B16"/>
    <w:rsid w:val="0095671C"/>
    <w:rsid w:val="00957FE8"/>
    <w:rsid w:val="00960917"/>
    <w:rsid w:val="00960F34"/>
    <w:rsid w:val="009611CE"/>
    <w:rsid w:val="00966760"/>
    <w:rsid w:val="009678E1"/>
    <w:rsid w:val="0097334D"/>
    <w:rsid w:val="0097428F"/>
    <w:rsid w:val="009764DB"/>
    <w:rsid w:val="009816DC"/>
    <w:rsid w:val="00985197"/>
    <w:rsid w:val="00991188"/>
    <w:rsid w:val="0099120D"/>
    <w:rsid w:val="0099764C"/>
    <w:rsid w:val="00997A14"/>
    <w:rsid w:val="009A02A2"/>
    <w:rsid w:val="009A05EA"/>
    <w:rsid w:val="009B0FBF"/>
    <w:rsid w:val="009D014A"/>
    <w:rsid w:val="009E24DE"/>
    <w:rsid w:val="009E2EE1"/>
    <w:rsid w:val="009E483A"/>
    <w:rsid w:val="009E4A8F"/>
    <w:rsid w:val="009F7855"/>
    <w:rsid w:val="00A02F83"/>
    <w:rsid w:val="00A07D6B"/>
    <w:rsid w:val="00A10FDB"/>
    <w:rsid w:val="00A15E3A"/>
    <w:rsid w:val="00A239C7"/>
    <w:rsid w:val="00A2484E"/>
    <w:rsid w:val="00A316EC"/>
    <w:rsid w:val="00A40243"/>
    <w:rsid w:val="00A40F21"/>
    <w:rsid w:val="00A422E8"/>
    <w:rsid w:val="00A4436E"/>
    <w:rsid w:val="00A46367"/>
    <w:rsid w:val="00A47201"/>
    <w:rsid w:val="00A5410F"/>
    <w:rsid w:val="00A62BCC"/>
    <w:rsid w:val="00A80D8A"/>
    <w:rsid w:val="00A92165"/>
    <w:rsid w:val="00A9229A"/>
    <w:rsid w:val="00A939FD"/>
    <w:rsid w:val="00A97C13"/>
    <w:rsid w:val="00AA7AC7"/>
    <w:rsid w:val="00AB3B5D"/>
    <w:rsid w:val="00AB4F5D"/>
    <w:rsid w:val="00AD1432"/>
    <w:rsid w:val="00AD2A92"/>
    <w:rsid w:val="00AD36B2"/>
    <w:rsid w:val="00AD650B"/>
    <w:rsid w:val="00AE1388"/>
    <w:rsid w:val="00AF2A55"/>
    <w:rsid w:val="00AF668C"/>
    <w:rsid w:val="00AF684C"/>
    <w:rsid w:val="00B12971"/>
    <w:rsid w:val="00B13472"/>
    <w:rsid w:val="00B13576"/>
    <w:rsid w:val="00B1384A"/>
    <w:rsid w:val="00B15430"/>
    <w:rsid w:val="00B2180C"/>
    <w:rsid w:val="00B247E2"/>
    <w:rsid w:val="00B26227"/>
    <w:rsid w:val="00B27408"/>
    <w:rsid w:val="00B31BCD"/>
    <w:rsid w:val="00B3484A"/>
    <w:rsid w:val="00B4550F"/>
    <w:rsid w:val="00B462D6"/>
    <w:rsid w:val="00B50064"/>
    <w:rsid w:val="00B5072A"/>
    <w:rsid w:val="00B51C72"/>
    <w:rsid w:val="00B52FEF"/>
    <w:rsid w:val="00B53034"/>
    <w:rsid w:val="00B5392E"/>
    <w:rsid w:val="00B63525"/>
    <w:rsid w:val="00B70466"/>
    <w:rsid w:val="00B72858"/>
    <w:rsid w:val="00B74FC2"/>
    <w:rsid w:val="00B82395"/>
    <w:rsid w:val="00B845D6"/>
    <w:rsid w:val="00B8487D"/>
    <w:rsid w:val="00B85D25"/>
    <w:rsid w:val="00B907A3"/>
    <w:rsid w:val="00B97703"/>
    <w:rsid w:val="00BA5204"/>
    <w:rsid w:val="00BB0361"/>
    <w:rsid w:val="00BB1D1C"/>
    <w:rsid w:val="00BB4F66"/>
    <w:rsid w:val="00BB5ABF"/>
    <w:rsid w:val="00BC3204"/>
    <w:rsid w:val="00BC3974"/>
    <w:rsid w:val="00BC41A2"/>
    <w:rsid w:val="00BC6AF5"/>
    <w:rsid w:val="00BC7FC2"/>
    <w:rsid w:val="00BD0B71"/>
    <w:rsid w:val="00BD65CF"/>
    <w:rsid w:val="00BE03A4"/>
    <w:rsid w:val="00BF22CD"/>
    <w:rsid w:val="00BF3366"/>
    <w:rsid w:val="00BF4F10"/>
    <w:rsid w:val="00BF54D8"/>
    <w:rsid w:val="00BF684C"/>
    <w:rsid w:val="00C06B3A"/>
    <w:rsid w:val="00C07CAD"/>
    <w:rsid w:val="00C11184"/>
    <w:rsid w:val="00C132FF"/>
    <w:rsid w:val="00C1795A"/>
    <w:rsid w:val="00C21551"/>
    <w:rsid w:val="00C21805"/>
    <w:rsid w:val="00C26FBF"/>
    <w:rsid w:val="00C2757C"/>
    <w:rsid w:val="00C3413B"/>
    <w:rsid w:val="00C36169"/>
    <w:rsid w:val="00C36FBB"/>
    <w:rsid w:val="00C43122"/>
    <w:rsid w:val="00C52DFE"/>
    <w:rsid w:val="00C62818"/>
    <w:rsid w:val="00C63D5D"/>
    <w:rsid w:val="00C71AAA"/>
    <w:rsid w:val="00C80FC6"/>
    <w:rsid w:val="00C83954"/>
    <w:rsid w:val="00C93E58"/>
    <w:rsid w:val="00C94815"/>
    <w:rsid w:val="00C9487C"/>
    <w:rsid w:val="00C959D1"/>
    <w:rsid w:val="00CA1308"/>
    <w:rsid w:val="00CA2E97"/>
    <w:rsid w:val="00CA351D"/>
    <w:rsid w:val="00CA47F8"/>
    <w:rsid w:val="00CA6924"/>
    <w:rsid w:val="00CB2D7C"/>
    <w:rsid w:val="00CC56BA"/>
    <w:rsid w:val="00CD0390"/>
    <w:rsid w:val="00CD117E"/>
    <w:rsid w:val="00CD1D28"/>
    <w:rsid w:val="00CD3B79"/>
    <w:rsid w:val="00CD5C35"/>
    <w:rsid w:val="00CD60CF"/>
    <w:rsid w:val="00CD6DFF"/>
    <w:rsid w:val="00CE2F99"/>
    <w:rsid w:val="00CE308A"/>
    <w:rsid w:val="00CF0DF5"/>
    <w:rsid w:val="00CF105D"/>
    <w:rsid w:val="00CF3400"/>
    <w:rsid w:val="00CF3E4A"/>
    <w:rsid w:val="00CF6087"/>
    <w:rsid w:val="00CF6D3E"/>
    <w:rsid w:val="00CF748E"/>
    <w:rsid w:val="00CF7ECF"/>
    <w:rsid w:val="00D00025"/>
    <w:rsid w:val="00D01534"/>
    <w:rsid w:val="00D015F5"/>
    <w:rsid w:val="00D04C14"/>
    <w:rsid w:val="00D13A9F"/>
    <w:rsid w:val="00D1494C"/>
    <w:rsid w:val="00D168C4"/>
    <w:rsid w:val="00D17C10"/>
    <w:rsid w:val="00D2361D"/>
    <w:rsid w:val="00D242A0"/>
    <w:rsid w:val="00D27087"/>
    <w:rsid w:val="00D33300"/>
    <w:rsid w:val="00D353F7"/>
    <w:rsid w:val="00D35CEA"/>
    <w:rsid w:val="00D360A8"/>
    <w:rsid w:val="00D40088"/>
    <w:rsid w:val="00D45731"/>
    <w:rsid w:val="00D46C89"/>
    <w:rsid w:val="00D46FED"/>
    <w:rsid w:val="00D47B7B"/>
    <w:rsid w:val="00D55740"/>
    <w:rsid w:val="00D64F57"/>
    <w:rsid w:val="00D67213"/>
    <w:rsid w:val="00D7279D"/>
    <w:rsid w:val="00D774DD"/>
    <w:rsid w:val="00D80594"/>
    <w:rsid w:val="00D80979"/>
    <w:rsid w:val="00D839B4"/>
    <w:rsid w:val="00D83A6C"/>
    <w:rsid w:val="00D87D6D"/>
    <w:rsid w:val="00D923DD"/>
    <w:rsid w:val="00D93F1B"/>
    <w:rsid w:val="00D94AF8"/>
    <w:rsid w:val="00DA0206"/>
    <w:rsid w:val="00DA08F2"/>
    <w:rsid w:val="00DA1ECA"/>
    <w:rsid w:val="00DA4700"/>
    <w:rsid w:val="00DA7A40"/>
    <w:rsid w:val="00DB27CF"/>
    <w:rsid w:val="00DB475D"/>
    <w:rsid w:val="00DC00D3"/>
    <w:rsid w:val="00DC1160"/>
    <w:rsid w:val="00DC1F5E"/>
    <w:rsid w:val="00DC230D"/>
    <w:rsid w:val="00DC51DF"/>
    <w:rsid w:val="00DC7E95"/>
    <w:rsid w:val="00DD5DA1"/>
    <w:rsid w:val="00DE1F3A"/>
    <w:rsid w:val="00E1441B"/>
    <w:rsid w:val="00E147DD"/>
    <w:rsid w:val="00E20831"/>
    <w:rsid w:val="00E236CD"/>
    <w:rsid w:val="00E26F16"/>
    <w:rsid w:val="00E278B1"/>
    <w:rsid w:val="00E27D46"/>
    <w:rsid w:val="00E33815"/>
    <w:rsid w:val="00E442CD"/>
    <w:rsid w:val="00E56388"/>
    <w:rsid w:val="00E57EC7"/>
    <w:rsid w:val="00E678F7"/>
    <w:rsid w:val="00E70B68"/>
    <w:rsid w:val="00E70EDD"/>
    <w:rsid w:val="00E7279B"/>
    <w:rsid w:val="00E81329"/>
    <w:rsid w:val="00E84420"/>
    <w:rsid w:val="00E8637E"/>
    <w:rsid w:val="00EA06E3"/>
    <w:rsid w:val="00EA18F3"/>
    <w:rsid w:val="00EA67AA"/>
    <w:rsid w:val="00EB0950"/>
    <w:rsid w:val="00EC6884"/>
    <w:rsid w:val="00ED00A5"/>
    <w:rsid w:val="00ED581F"/>
    <w:rsid w:val="00ED6C6D"/>
    <w:rsid w:val="00ED6F47"/>
    <w:rsid w:val="00EF1707"/>
    <w:rsid w:val="00EF2516"/>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227F"/>
    <w:rsid w:val="00F76376"/>
    <w:rsid w:val="00F80BDD"/>
    <w:rsid w:val="00F86BAD"/>
    <w:rsid w:val="00F87A8A"/>
    <w:rsid w:val="00F94F00"/>
    <w:rsid w:val="00F97D93"/>
    <w:rsid w:val="00FA55F5"/>
    <w:rsid w:val="00FA6686"/>
    <w:rsid w:val="00FB1DEC"/>
    <w:rsid w:val="00FB7124"/>
    <w:rsid w:val="00FC09AA"/>
    <w:rsid w:val="00FC1D55"/>
    <w:rsid w:val="00FC2A7B"/>
    <w:rsid w:val="00FC766A"/>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3103"/>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qFormat/>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リスト段落,列,목록"/>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B1Char">
    <w:name w:val="B1 Char"/>
    <w:link w:val="B1"/>
    <w:qFormat/>
    <w:locked/>
    <w:rsid w:val="003849A0"/>
    <w:rPr>
      <w:rFonts w:eastAsia="SimSun"/>
      <w:lang w:val="en-GB" w:eastAsia="zh-CN"/>
    </w:rPr>
  </w:style>
  <w:style w:type="paragraph" w:styleId="afb">
    <w:name w:val="annotation subject"/>
    <w:basedOn w:val="a6"/>
    <w:next w:val="a6"/>
    <w:link w:val="afc"/>
    <w:uiPriority w:val="99"/>
    <w:semiHidden/>
    <w:unhideWhenUsed/>
    <w:rsid w:val="007A1D5D"/>
    <w:pPr>
      <w:tabs>
        <w:tab w:val="clear" w:pos="1418"/>
        <w:tab w:val="clear" w:pos="4678"/>
        <w:tab w:val="clear" w:pos="5954"/>
        <w:tab w:val="clear" w:pos="7088"/>
      </w:tabs>
      <w:spacing w:after="180"/>
      <w:jc w:val="left"/>
    </w:pPr>
    <w:rPr>
      <w:rFonts w:ascii="Times New Roman" w:hAnsi="Times New Roman"/>
      <w:b/>
      <w:bCs/>
    </w:rPr>
  </w:style>
  <w:style w:type="character" w:customStyle="1" w:styleId="afc">
    <w:name w:val="註解主旨 字元"/>
    <w:basedOn w:val="a7"/>
    <w:link w:val="afb"/>
    <w:uiPriority w:val="99"/>
    <w:semiHidden/>
    <w:rsid w:val="007A1D5D"/>
    <w:rPr>
      <w:rFonts w:ascii="Arial" w:eastAsia="SimSun" w:hAnsi="Arial"/>
      <w:b/>
      <w:bCs/>
      <w:lang w:val="en-GB" w:eastAsia="zh-CN"/>
    </w:rPr>
  </w:style>
  <w:style w:type="paragraph" w:styleId="Web">
    <w:name w:val="Normal (Web)"/>
    <w:basedOn w:val="a"/>
    <w:uiPriority w:val="99"/>
    <w:semiHidden/>
    <w:unhideWhenUsed/>
    <w:rsid w:val="00E7279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26833607">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2331831">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0486005">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48127560">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88052174">
      <w:bodyDiv w:val="1"/>
      <w:marLeft w:val="0"/>
      <w:marRight w:val="0"/>
      <w:marTop w:val="0"/>
      <w:marBottom w:val="0"/>
      <w:divBdr>
        <w:top w:val="none" w:sz="0" w:space="0" w:color="auto"/>
        <w:left w:val="none" w:sz="0" w:space="0" w:color="auto"/>
        <w:bottom w:val="none" w:sz="0" w:space="0" w:color="auto"/>
        <w:right w:val="none" w:sz="0" w:space="0" w:color="auto"/>
      </w:divBdr>
    </w:div>
    <w:div w:id="296759359">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3117146">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0468338">
      <w:bodyDiv w:val="1"/>
      <w:marLeft w:val="0"/>
      <w:marRight w:val="0"/>
      <w:marTop w:val="0"/>
      <w:marBottom w:val="0"/>
      <w:divBdr>
        <w:top w:val="none" w:sz="0" w:space="0" w:color="auto"/>
        <w:left w:val="none" w:sz="0" w:space="0" w:color="auto"/>
        <w:bottom w:val="none" w:sz="0" w:space="0" w:color="auto"/>
        <w:right w:val="none" w:sz="0" w:space="0" w:color="auto"/>
      </w:divBdr>
    </w:div>
    <w:div w:id="487287259">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10488748">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597637762">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3417057">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2826930">
      <w:bodyDiv w:val="1"/>
      <w:marLeft w:val="0"/>
      <w:marRight w:val="0"/>
      <w:marTop w:val="0"/>
      <w:marBottom w:val="0"/>
      <w:divBdr>
        <w:top w:val="none" w:sz="0" w:space="0" w:color="auto"/>
        <w:left w:val="none" w:sz="0" w:space="0" w:color="auto"/>
        <w:bottom w:val="none" w:sz="0" w:space="0" w:color="auto"/>
        <w:right w:val="none" w:sz="0" w:space="0" w:color="auto"/>
      </w:divBdr>
    </w:div>
    <w:div w:id="703094444">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1686621">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69743332">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3391681">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07173654">
      <w:bodyDiv w:val="1"/>
      <w:marLeft w:val="0"/>
      <w:marRight w:val="0"/>
      <w:marTop w:val="0"/>
      <w:marBottom w:val="0"/>
      <w:divBdr>
        <w:top w:val="none" w:sz="0" w:space="0" w:color="auto"/>
        <w:left w:val="none" w:sz="0" w:space="0" w:color="auto"/>
        <w:bottom w:val="none" w:sz="0" w:space="0" w:color="auto"/>
        <w:right w:val="none" w:sz="0" w:space="0" w:color="auto"/>
      </w:divBdr>
    </w:div>
    <w:div w:id="1022439455">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64722757">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11125377">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08182059">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761706">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294945061">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61668993">
      <w:bodyDiv w:val="1"/>
      <w:marLeft w:val="0"/>
      <w:marRight w:val="0"/>
      <w:marTop w:val="0"/>
      <w:marBottom w:val="0"/>
      <w:divBdr>
        <w:top w:val="none" w:sz="0" w:space="0" w:color="auto"/>
        <w:left w:val="none" w:sz="0" w:space="0" w:color="auto"/>
        <w:bottom w:val="none" w:sz="0" w:space="0" w:color="auto"/>
        <w:right w:val="none" w:sz="0" w:space="0" w:color="auto"/>
      </w:divBdr>
    </w:div>
    <w:div w:id="1369526257">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10812236">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3325677">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0217788">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5570065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65918738">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5361418">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15555872">
      <w:bodyDiv w:val="1"/>
      <w:marLeft w:val="0"/>
      <w:marRight w:val="0"/>
      <w:marTop w:val="0"/>
      <w:marBottom w:val="0"/>
      <w:divBdr>
        <w:top w:val="none" w:sz="0" w:space="0" w:color="auto"/>
        <w:left w:val="none" w:sz="0" w:space="0" w:color="auto"/>
        <w:bottom w:val="none" w:sz="0" w:space="0" w:color="auto"/>
        <w:right w:val="none" w:sz="0" w:space="0" w:color="auto"/>
      </w:divBdr>
    </w:div>
    <w:div w:id="1651709336">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899507976">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1754417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31306318">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61180884">
      <w:bodyDiv w:val="1"/>
      <w:marLeft w:val="0"/>
      <w:marRight w:val="0"/>
      <w:marTop w:val="0"/>
      <w:marBottom w:val="0"/>
      <w:divBdr>
        <w:top w:val="none" w:sz="0" w:space="0" w:color="auto"/>
        <w:left w:val="none" w:sz="0" w:space="0" w:color="auto"/>
        <w:bottom w:val="none" w:sz="0" w:space="0" w:color="auto"/>
        <w:right w:val="none" w:sz="0" w:space="0" w:color="auto"/>
      </w:divBdr>
    </w:div>
    <w:div w:id="1974365521">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3926312">
      <w:bodyDiv w:val="1"/>
      <w:marLeft w:val="0"/>
      <w:marRight w:val="0"/>
      <w:marTop w:val="0"/>
      <w:marBottom w:val="0"/>
      <w:divBdr>
        <w:top w:val="none" w:sz="0" w:space="0" w:color="auto"/>
        <w:left w:val="none" w:sz="0" w:space="0" w:color="auto"/>
        <w:bottom w:val="none" w:sz="0" w:space="0" w:color="auto"/>
        <w:right w:val="none" w:sz="0" w:space="0" w:color="auto"/>
      </w:divBdr>
    </w:div>
    <w:div w:id="1985038313">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42895104">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4716395">
      <w:bodyDiv w:val="1"/>
      <w:marLeft w:val="0"/>
      <w:marRight w:val="0"/>
      <w:marTop w:val="0"/>
      <w:marBottom w:val="0"/>
      <w:divBdr>
        <w:top w:val="none" w:sz="0" w:space="0" w:color="auto"/>
        <w:left w:val="none" w:sz="0" w:space="0" w:color="auto"/>
        <w:bottom w:val="none" w:sz="0" w:space="0" w:color="auto"/>
        <w:right w:val="none" w:sz="0" w:space="0" w:color="auto"/>
      </w:divBdr>
    </w:div>
    <w:div w:id="2120877301">
      <w:bodyDiv w:val="1"/>
      <w:marLeft w:val="0"/>
      <w:marRight w:val="0"/>
      <w:marTop w:val="0"/>
      <w:marBottom w:val="0"/>
      <w:divBdr>
        <w:top w:val="none" w:sz="0" w:space="0" w:color="auto"/>
        <w:left w:val="none" w:sz="0" w:space="0" w:color="auto"/>
        <w:bottom w:val="none" w:sz="0" w:space="0" w:color="auto"/>
        <w:right w:val="none" w:sz="0" w:space="0" w:color="auto"/>
      </w:divBdr>
    </w:div>
    <w:div w:id="2121680727">
      <w:bodyDiv w:val="1"/>
      <w:marLeft w:val="0"/>
      <w:marRight w:val="0"/>
      <w:marTop w:val="0"/>
      <w:marBottom w:val="0"/>
      <w:divBdr>
        <w:top w:val="none" w:sz="0" w:space="0" w:color="auto"/>
        <w:left w:val="none" w:sz="0" w:space="0" w:color="auto"/>
        <w:bottom w:val="none" w:sz="0" w:space="0" w:color="auto"/>
        <w:right w:val="none" w:sz="0" w:space="0" w:color="auto"/>
      </w:divBdr>
    </w:div>
    <w:div w:id="213937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煥仁 傅</cp:lastModifiedBy>
  <cp:revision>4</cp:revision>
  <cp:lastPrinted>2002-04-23T07:10:00Z</cp:lastPrinted>
  <dcterms:created xsi:type="dcterms:W3CDTF">2025-05-19T08:29:00Z</dcterms:created>
  <dcterms:modified xsi:type="dcterms:W3CDTF">2025-05-19T14:08:00Z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